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2BF5" w14:textId="77777777" w:rsidR="0086323F" w:rsidRPr="00206109" w:rsidRDefault="00964243">
      <w:pPr>
        <w:spacing w:before="800" w:after="200"/>
        <w:jc w:val="center"/>
        <w:rPr>
          <w:rFonts w:asciiTheme="minorHAnsi" w:hAnsiTheme="minorHAnsi" w:cstheme="minorHAnsi"/>
        </w:rPr>
      </w:pPr>
      <w:r w:rsidRPr="00206109">
        <w:rPr>
          <w:rFonts w:asciiTheme="minorHAnsi" w:hAnsiTheme="minorHAnsi" w:cstheme="minorHAnsi"/>
          <w:i/>
          <w:iCs/>
          <w:color w:val="595959"/>
        </w:rPr>
        <w:t>Groupement de commandes hospitalier de la Haute-Garonne et du Tarn Ouest</w:t>
      </w:r>
    </w:p>
    <w:p w14:paraId="09F51BC4" w14:textId="77777777" w:rsidR="0086323F" w:rsidRPr="00206109" w:rsidRDefault="00964243">
      <w:pPr>
        <w:spacing w:before="600" w:after="400"/>
        <w:jc w:val="center"/>
        <w:rPr>
          <w:rFonts w:asciiTheme="minorHAnsi" w:hAnsiTheme="minorHAnsi" w:cstheme="minorHAnsi"/>
        </w:rPr>
      </w:pPr>
      <w:r w:rsidRPr="00206109">
        <w:rPr>
          <w:rFonts w:asciiTheme="minorHAnsi" w:hAnsiTheme="minorHAnsi" w:cstheme="minorHAnsi"/>
          <w:b/>
          <w:bCs/>
          <w:color w:val="1F4E79"/>
          <w:sz w:val="56"/>
          <w:szCs w:val="56"/>
        </w:rPr>
        <w:t>C.C.T.P.</w:t>
      </w:r>
    </w:p>
    <w:p w14:paraId="1B36E5CD" w14:textId="77777777" w:rsidR="0086323F" w:rsidRPr="00206109" w:rsidRDefault="00964243">
      <w:pPr>
        <w:spacing w:after="200"/>
        <w:jc w:val="center"/>
        <w:rPr>
          <w:rFonts w:asciiTheme="minorHAnsi" w:hAnsiTheme="minorHAnsi" w:cstheme="minorHAnsi"/>
        </w:rPr>
      </w:pPr>
      <w:r w:rsidRPr="00206109">
        <w:rPr>
          <w:rFonts w:asciiTheme="minorHAnsi" w:hAnsiTheme="minorHAnsi" w:cstheme="minorHAnsi"/>
          <w:b/>
          <w:bCs/>
          <w:sz w:val="32"/>
          <w:szCs w:val="32"/>
        </w:rPr>
        <w:t>Cahier des Clauses Techniques Particulières</w:t>
      </w:r>
    </w:p>
    <w:p w14:paraId="241ABAC6" w14:textId="77777777" w:rsidR="0086323F" w:rsidRPr="00206109" w:rsidRDefault="00964243">
      <w:pPr>
        <w:spacing w:before="600" w:after="200"/>
        <w:jc w:val="center"/>
        <w:rPr>
          <w:rFonts w:asciiTheme="minorHAnsi" w:hAnsiTheme="minorHAnsi" w:cstheme="minorHAnsi"/>
        </w:rPr>
      </w:pPr>
      <w:proofErr w:type="gramStart"/>
      <w:r w:rsidRPr="00206109">
        <w:rPr>
          <w:rFonts w:asciiTheme="minorHAnsi" w:hAnsiTheme="minorHAnsi" w:cstheme="minorHAnsi"/>
          <w:i/>
          <w:iCs/>
        </w:rPr>
        <w:t>du</w:t>
      </w:r>
      <w:proofErr w:type="gramEnd"/>
      <w:r w:rsidRPr="00206109">
        <w:rPr>
          <w:rFonts w:asciiTheme="minorHAnsi" w:hAnsiTheme="minorHAnsi" w:cstheme="minorHAnsi"/>
          <w:i/>
          <w:iCs/>
        </w:rPr>
        <w:t xml:space="preserve"> marché public ayant pour objet :</w:t>
      </w:r>
    </w:p>
    <w:p w14:paraId="307BF47B" w14:textId="77777777" w:rsidR="0086323F" w:rsidRPr="00206109" w:rsidRDefault="00964243">
      <w:pPr>
        <w:spacing w:before="200" w:after="200"/>
        <w:jc w:val="center"/>
        <w:rPr>
          <w:rFonts w:asciiTheme="minorHAnsi" w:hAnsiTheme="minorHAnsi" w:cstheme="minorHAnsi"/>
        </w:rPr>
      </w:pPr>
      <w:r w:rsidRPr="00206109">
        <w:rPr>
          <w:rFonts w:asciiTheme="minorHAnsi" w:hAnsiTheme="minorHAnsi" w:cstheme="minorHAnsi"/>
          <w:b/>
          <w:bCs/>
          <w:sz w:val="24"/>
          <w:szCs w:val="24"/>
        </w:rPr>
        <w:t>Fourniture de réactifs et consommables pour la réalisation d’analyses de gazométrie avec mise à disposition (MAD totale, livraison, installation, formation, maintenance) :</w:t>
      </w:r>
    </w:p>
    <w:p w14:paraId="1E5ECF27" w14:textId="1E764944" w:rsidR="0086323F" w:rsidRPr="00206109" w:rsidRDefault="00964243">
      <w:pPr>
        <w:spacing w:after="80"/>
        <w:jc w:val="center"/>
        <w:rPr>
          <w:rFonts w:asciiTheme="minorHAnsi" w:hAnsiTheme="minorHAnsi" w:cstheme="minorHAnsi"/>
        </w:rPr>
      </w:pPr>
      <w:r w:rsidRPr="00206109">
        <w:rPr>
          <w:rFonts w:asciiTheme="minorHAnsi" w:hAnsiTheme="minorHAnsi" w:cstheme="minorHAnsi"/>
        </w:rPr>
        <w:t xml:space="preserve">• d’un parc </w:t>
      </w:r>
      <w:r w:rsidR="00F83DF4" w:rsidRPr="00206109">
        <w:rPr>
          <w:rFonts w:asciiTheme="minorHAnsi" w:hAnsiTheme="minorHAnsi" w:cstheme="minorHAnsi"/>
        </w:rPr>
        <w:t>d’</w:t>
      </w:r>
      <w:r w:rsidRPr="00206109">
        <w:rPr>
          <w:rFonts w:asciiTheme="minorHAnsi" w:hAnsiTheme="minorHAnsi" w:cstheme="minorHAnsi"/>
        </w:rPr>
        <w:t>analyseurs de gaz du sang répartis sur 4 sites (laboratoires LBM et services de soins en mode EBMD)</w:t>
      </w:r>
    </w:p>
    <w:p w14:paraId="363DD50C" w14:textId="77777777" w:rsidR="0086323F" w:rsidRPr="00206109" w:rsidRDefault="00964243">
      <w:pPr>
        <w:spacing w:after="80"/>
        <w:jc w:val="center"/>
        <w:rPr>
          <w:rFonts w:asciiTheme="minorHAnsi" w:hAnsiTheme="minorHAnsi" w:cstheme="minorHAnsi"/>
        </w:rPr>
      </w:pPr>
      <w:r w:rsidRPr="00206109">
        <w:rPr>
          <w:rFonts w:asciiTheme="minorHAnsi" w:hAnsiTheme="minorHAnsi" w:cstheme="minorHAnsi"/>
        </w:rPr>
        <w:t xml:space="preserve">• d’un middleware (gestionnaire de données) de pilotage des examens de biologie médicale délocalisée connecté au SIL </w:t>
      </w:r>
      <w:proofErr w:type="spellStart"/>
      <w:r w:rsidRPr="00206109">
        <w:rPr>
          <w:rFonts w:asciiTheme="minorHAnsi" w:hAnsiTheme="minorHAnsi" w:cstheme="minorHAnsi"/>
        </w:rPr>
        <w:t>Molis</w:t>
      </w:r>
      <w:proofErr w:type="spellEnd"/>
    </w:p>
    <w:p w14:paraId="7D230AF1" w14:textId="76C2C7DE" w:rsidR="0086323F" w:rsidRPr="00206109" w:rsidRDefault="00964243">
      <w:pPr>
        <w:spacing w:before="800" w:after="200"/>
        <w:jc w:val="center"/>
        <w:rPr>
          <w:rFonts w:asciiTheme="minorHAnsi" w:hAnsiTheme="minorHAnsi" w:cstheme="minorHAnsi"/>
        </w:rPr>
      </w:pPr>
      <w:r w:rsidRPr="00206109">
        <w:rPr>
          <w:rFonts w:asciiTheme="minorHAnsi" w:hAnsiTheme="minorHAnsi" w:cstheme="minorHAnsi"/>
          <w:b/>
          <w:bCs/>
          <w:color w:val="1F4E79"/>
          <w:sz w:val="26"/>
          <w:szCs w:val="26"/>
        </w:rPr>
        <w:t>MAD – Durée du marché : 8 ans ferme</w:t>
      </w:r>
    </w:p>
    <w:p w14:paraId="5A738973" w14:textId="77777777" w:rsidR="0086323F" w:rsidRPr="00206109" w:rsidRDefault="00964243">
      <w:pPr>
        <w:spacing w:before="800" w:after="200"/>
        <w:jc w:val="center"/>
        <w:rPr>
          <w:rFonts w:asciiTheme="minorHAnsi" w:hAnsiTheme="minorHAnsi" w:cstheme="minorHAnsi"/>
        </w:rPr>
      </w:pPr>
      <w:r w:rsidRPr="00206109">
        <w:rPr>
          <w:rFonts w:asciiTheme="minorHAnsi" w:hAnsiTheme="minorHAnsi" w:cstheme="minorHAnsi"/>
          <w:b/>
          <w:bCs/>
        </w:rPr>
        <w:t>Pouvoir Adjudicateur : CENTRE HOSPITALIER UNIVERSITAIRE DE TOULOUSE</w:t>
      </w:r>
    </w:p>
    <w:p w14:paraId="1D6CE1BD" w14:textId="77777777" w:rsidR="0086323F" w:rsidRPr="00206109" w:rsidRDefault="00964243">
      <w:pPr>
        <w:spacing w:before="200" w:after="200"/>
        <w:jc w:val="center"/>
        <w:rPr>
          <w:rFonts w:asciiTheme="minorHAnsi" w:hAnsiTheme="minorHAnsi" w:cstheme="minorHAnsi"/>
        </w:rPr>
      </w:pPr>
      <w:r w:rsidRPr="00206109">
        <w:rPr>
          <w:rFonts w:asciiTheme="minorHAnsi" w:hAnsiTheme="minorHAnsi" w:cstheme="minorHAnsi"/>
          <w:sz w:val="20"/>
          <w:szCs w:val="20"/>
        </w:rPr>
        <w:t>Hôtel-Dieu Saint-Jacques – 2 rue Viguerie – TSA 80035 – 31059 Toulouse Cedex 9</w:t>
      </w:r>
    </w:p>
    <w:p w14:paraId="751CC4C8" w14:textId="77777777" w:rsidR="0086323F" w:rsidRPr="00206109" w:rsidRDefault="00964243">
      <w:pPr>
        <w:rPr>
          <w:rFonts w:asciiTheme="minorHAnsi" w:hAnsiTheme="minorHAnsi" w:cstheme="minorHAnsi"/>
        </w:rPr>
      </w:pPr>
      <w:r w:rsidRPr="00206109">
        <w:rPr>
          <w:rFonts w:asciiTheme="minorHAnsi" w:hAnsiTheme="minorHAnsi" w:cstheme="minorHAnsi"/>
        </w:rPr>
        <w:br w:type="page"/>
      </w:r>
    </w:p>
    <w:p w14:paraId="6BB6248A" w14:textId="5716BFD0" w:rsidR="0086323F" w:rsidRPr="00973A9B" w:rsidRDefault="00964243" w:rsidP="003506AE">
      <w:pPr>
        <w:jc w:val="center"/>
        <w:rPr>
          <w:rFonts w:asciiTheme="minorHAnsi" w:hAnsiTheme="minorHAnsi" w:cstheme="minorHAnsi"/>
        </w:rPr>
      </w:pPr>
      <w:r w:rsidRPr="003506AE">
        <w:rPr>
          <w:rFonts w:asciiTheme="minorHAnsi" w:hAnsiTheme="minorHAnsi" w:cstheme="minorHAnsi"/>
          <w:b/>
          <w:bCs/>
          <w:color w:val="1F4E79"/>
          <w:sz w:val="32"/>
          <w:szCs w:val="32"/>
        </w:rPr>
        <w:lastRenderedPageBreak/>
        <w:t>Sommaire</w:t>
      </w:r>
    </w:p>
    <w:sdt>
      <w:sdtPr>
        <w:rPr>
          <w:rFonts w:asciiTheme="minorHAnsi" w:hAnsiTheme="minorHAnsi" w:cstheme="minorHAnsi"/>
        </w:rPr>
        <w:alias w:val="Sommaire"/>
        <w:id w:val="1761401200"/>
      </w:sdtPr>
      <w:sdtEndPr/>
      <w:sdtContent>
        <w:p w14:paraId="6436B038" w14:textId="704243E0" w:rsidR="003506AE" w:rsidRDefault="00964243">
          <w:pPr>
            <w:pStyle w:val="TM1"/>
            <w:tabs>
              <w:tab w:val="right" w:leader="dot" w:pos="9296"/>
            </w:tabs>
            <w:rPr>
              <w:rFonts w:asciiTheme="minorHAnsi" w:eastAsiaTheme="minorEastAsia" w:hAnsiTheme="minorHAnsi" w:cstheme="minorBidi"/>
              <w:noProof/>
            </w:rPr>
          </w:pPr>
          <w:r w:rsidRPr="00206109">
            <w:rPr>
              <w:rFonts w:asciiTheme="minorHAnsi" w:hAnsiTheme="minorHAnsi" w:cstheme="minorHAnsi"/>
            </w:rPr>
            <w:fldChar w:fldCharType="begin"/>
          </w:r>
          <w:r w:rsidRPr="00206109">
            <w:rPr>
              <w:rFonts w:asciiTheme="minorHAnsi" w:hAnsiTheme="minorHAnsi" w:cstheme="minorHAnsi"/>
            </w:rPr>
            <w:instrText>TOC \h \o "1-3"</w:instrText>
          </w:r>
          <w:r w:rsidRPr="00206109">
            <w:rPr>
              <w:rFonts w:asciiTheme="minorHAnsi" w:hAnsiTheme="minorHAnsi" w:cstheme="minorHAnsi"/>
            </w:rPr>
            <w:fldChar w:fldCharType="separate"/>
          </w:r>
          <w:hyperlink w:anchor="_Toc232759443" w:history="1">
            <w:r w:rsidR="003506AE" w:rsidRPr="005435C5">
              <w:rPr>
                <w:rStyle w:val="Lienhypertexte"/>
                <w:rFonts w:cstheme="minorHAnsi"/>
                <w:noProof/>
              </w:rPr>
              <w:t>1. Présentation du projet</w:t>
            </w:r>
            <w:r w:rsidR="003506AE">
              <w:rPr>
                <w:noProof/>
              </w:rPr>
              <w:tab/>
            </w:r>
            <w:r w:rsidR="003506AE">
              <w:rPr>
                <w:noProof/>
              </w:rPr>
              <w:fldChar w:fldCharType="begin"/>
            </w:r>
            <w:r w:rsidR="003506AE">
              <w:rPr>
                <w:noProof/>
              </w:rPr>
              <w:instrText xml:space="preserve"> PAGEREF _Toc232759443 \h </w:instrText>
            </w:r>
            <w:r w:rsidR="003506AE">
              <w:rPr>
                <w:noProof/>
              </w:rPr>
            </w:r>
            <w:r w:rsidR="003506AE">
              <w:rPr>
                <w:noProof/>
              </w:rPr>
              <w:fldChar w:fldCharType="separate"/>
            </w:r>
            <w:r w:rsidR="00352778">
              <w:rPr>
                <w:noProof/>
              </w:rPr>
              <w:t>4</w:t>
            </w:r>
            <w:r w:rsidR="003506AE">
              <w:rPr>
                <w:noProof/>
              </w:rPr>
              <w:fldChar w:fldCharType="end"/>
            </w:r>
          </w:hyperlink>
        </w:p>
        <w:p w14:paraId="2113421E" w14:textId="2049F678" w:rsidR="003506AE" w:rsidRDefault="00EF3D2B">
          <w:pPr>
            <w:pStyle w:val="TM2"/>
            <w:tabs>
              <w:tab w:val="right" w:leader="dot" w:pos="9296"/>
            </w:tabs>
            <w:rPr>
              <w:rFonts w:asciiTheme="minorHAnsi" w:eastAsiaTheme="minorEastAsia" w:hAnsiTheme="minorHAnsi" w:cstheme="minorBidi"/>
              <w:noProof/>
            </w:rPr>
          </w:pPr>
          <w:hyperlink w:anchor="_Toc232759444" w:history="1">
            <w:r w:rsidR="003506AE" w:rsidRPr="005435C5">
              <w:rPr>
                <w:rStyle w:val="Lienhypertexte"/>
                <w:rFonts w:cstheme="minorHAnsi"/>
                <w:noProof/>
              </w:rPr>
              <w:t>1.1. Généralités</w:t>
            </w:r>
            <w:r w:rsidR="003506AE">
              <w:rPr>
                <w:noProof/>
              </w:rPr>
              <w:tab/>
            </w:r>
            <w:r w:rsidR="003506AE">
              <w:rPr>
                <w:noProof/>
              </w:rPr>
              <w:fldChar w:fldCharType="begin"/>
            </w:r>
            <w:r w:rsidR="003506AE">
              <w:rPr>
                <w:noProof/>
              </w:rPr>
              <w:instrText xml:space="preserve"> PAGEREF _Toc232759444 \h </w:instrText>
            </w:r>
            <w:r w:rsidR="003506AE">
              <w:rPr>
                <w:noProof/>
              </w:rPr>
            </w:r>
            <w:r w:rsidR="003506AE">
              <w:rPr>
                <w:noProof/>
              </w:rPr>
              <w:fldChar w:fldCharType="separate"/>
            </w:r>
            <w:r w:rsidR="00352778">
              <w:rPr>
                <w:noProof/>
              </w:rPr>
              <w:t>4</w:t>
            </w:r>
            <w:r w:rsidR="003506AE">
              <w:rPr>
                <w:noProof/>
              </w:rPr>
              <w:fldChar w:fldCharType="end"/>
            </w:r>
          </w:hyperlink>
        </w:p>
        <w:p w14:paraId="7ADC3058" w14:textId="02077B68" w:rsidR="003506AE" w:rsidRDefault="00EF3D2B">
          <w:pPr>
            <w:pStyle w:val="TM2"/>
            <w:tabs>
              <w:tab w:val="right" w:leader="dot" w:pos="9296"/>
            </w:tabs>
            <w:rPr>
              <w:rFonts w:asciiTheme="minorHAnsi" w:eastAsiaTheme="minorEastAsia" w:hAnsiTheme="minorHAnsi" w:cstheme="minorBidi"/>
              <w:noProof/>
            </w:rPr>
          </w:pPr>
          <w:hyperlink w:anchor="_Toc232759445" w:history="1">
            <w:r w:rsidR="003506AE" w:rsidRPr="005435C5">
              <w:rPr>
                <w:rStyle w:val="Lienhypertexte"/>
                <w:rFonts w:cstheme="minorHAnsi"/>
                <w:noProof/>
              </w:rPr>
              <w:t>1.2. Mémoire technique</w:t>
            </w:r>
            <w:r w:rsidR="003506AE">
              <w:rPr>
                <w:noProof/>
              </w:rPr>
              <w:tab/>
            </w:r>
            <w:r w:rsidR="003506AE">
              <w:rPr>
                <w:noProof/>
              </w:rPr>
              <w:fldChar w:fldCharType="begin"/>
            </w:r>
            <w:r w:rsidR="003506AE">
              <w:rPr>
                <w:noProof/>
              </w:rPr>
              <w:instrText xml:space="preserve"> PAGEREF _Toc232759445 \h </w:instrText>
            </w:r>
            <w:r w:rsidR="003506AE">
              <w:rPr>
                <w:noProof/>
              </w:rPr>
            </w:r>
            <w:r w:rsidR="003506AE">
              <w:rPr>
                <w:noProof/>
              </w:rPr>
              <w:fldChar w:fldCharType="separate"/>
            </w:r>
            <w:r w:rsidR="00352778">
              <w:rPr>
                <w:noProof/>
              </w:rPr>
              <w:t>4</w:t>
            </w:r>
            <w:r w:rsidR="003506AE">
              <w:rPr>
                <w:noProof/>
              </w:rPr>
              <w:fldChar w:fldCharType="end"/>
            </w:r>
          </w:hyperlink>
        </w:p>
        <w:p w14:paraId="6C3789B1" w14:textId="06EAEFCC" w:rsidR="003506AE" w:rsidRDefault="00EF3D2B">
          <w:pPr>
            <w:pStyle w:val="TM2"/>
            <w:tabs>
              <w:tab w:val="right" w:leader="dot" w:pos="9296"/>
            </w:tabs>
            <w:rPr>
              <w:rFonts w:asciiTheme="minorHAnsi" w:eastAsiaTheme="minorEastAsia" w:hAnsiTheme="minorHAnsi" w:cstheme="minorBidi"/>
              <w:noProof/>
            </w:rPr>
          </w:pPr>
          <w:hyperlink w:anchor="_Toc232759446" w:history="1">
            <w:r w:rsidR="003506AE" w:rsidRPr="005435C5">
              <w:rPr>
                <w:rStyle w:val="Lienhypertexte"/>
                <w:rFonts w:cstheme="minorHAnsi"/>
                <w:noProof/>
              </w:rPr>
              <w:t>1.3. Référents projet CHU de Toulouse</w:t>
            </w:r>
            <w:r w:rsidR="003506AE">
              <w:rPr>
                <w:noProof/>
              </w:rPr>
              <w:tab/>
            </w:r>
            <w:r w:rsidR="003506AE">
              <w:rPr>
                <w:noProof/>
              </w:rPr>
              <w:fldChar w:fldCharType="begin"/>
            </w:r>
            <w:r w:rsidR="003506AE">
              <w:rPr>
                <w:noProof/>
              </w:rPr>
              <w:instrText xml:space="preserve"> PAGEREF _Toc232759446 \h </w:instrText>
            </w:r>
            <w:r w:rsidR="003506AE">
              <w:rPr>
                <w:noProof/>
              </w:rPr>
            </w:r>
            <w:r w:rsidR="003506AE">
              <w:rPr>
                <w:noProof/>
              </w:rPr>
              <w:fldChar w:fldCharType="separate"/>
            </w:r>
            <w:r w:rsidR="00352778">
              <w:rPr>
                <w:noProof/>
              </w:rPr>
              <w:t>4</w:t>
            </w:r>
            <w:r w:rsidR="003506AE">
              <w:rPr>
                <w:noProof/>
              </w:rPr>
              <w:fldChar w:fldCharType="end"/>
            </w:r>
          </w:hyperlink>
        </w:p>
        <w:p w14:paraId="29AA3088" w14:textId="17B74787" w:rsidR="003506AE" w:rsidRDefault="00EF3D2B">
          <w:pPr>
            <w:pStyle w:val="TM1"/>
            <w:tabs>
              <w:tab w:val="right" w:leader="dot" w:pos="9296"/>
            </w:tabs>
            <w:rPr>
              <w:rFonts w:asciiTheme="minorHAnsi" w:eastAsiaTheme="minorEastAsia" w:hAnsiTheme="minorHAnsi" w:cstheme="minorBidi"/>
              <w:noProof/>
            </w:rPr>
          </w:pPr>
          <w:hyperlink w:anchor="_Toc232759447" w:history="1">
            <w:r w:rsidR="003506AE" w:rsidRPr="005435C5">
              <w:rPr>
                <w:rStyle w:val="Lienhypertexte"/>
                <w:rFonts w:cstheme="minorHAnsi"/>
                <w:noProof/>
              </w:rPr>
              <w:t>2. Objet de l’appel d’offres</w:t>
            </w:r>
            <w:r w:rsidR="003506AE">
              <w:rPr>
                <w:noProof/>
              </w:rPr>
              <w:tab/>
            </w:r>
            <w:r w:rsidR="003506AE">
              <w:rPr>
                <w:noProof/>
              </w:rPr>
              <w:fldChar w:fldCharType="begin"/>
            </w:r>
            <w:r w:rsidR="003506AE">
              <w:rPr>
                <w:noProof/>
              </w:rPr>
              <w:instrText xml:space="preserve"> PAGEREF _Toc232759447 \h </w:instrText>
            </w:r>
            <w:r w:rsidR="003506AE">
              <w:rPr>
                <w:noProof/>
              </w:rPr>
            </w:r>
            <w:r w:rsidR="003506AE">
              <w:rPr>
                <w:noProof/>
              </w:rPr>
              <w:fldChar w:fldCharType="separate"/>
            </w:r>
            <w:r w:rsidR="00352778">
              <w:rPr>
                <w:noProof/>
              </w:rPr>
              <w:t>5</w:t>
            </w:r>
            <w:r w:rsidR="003506AE">
              <w:rPr>
                <w:noProof/>
              </w:rPr>
              <w:fldChar w:fldCharType="end"/>
            </w:r>
          </w:hyperlink>
        </w:p>
        <w:p w14:paraId="0114942C" w14:textId="453AC142" w:rsidR="003506AE" w:rsidRDefault="00EF3D2B">
          <w:pPr>
            <w:pStyle w:val="TM2"/>
            <w:tabs>
              <w:tab w:val="right" w:leader="dot" w:pos="9296"/>
            </w:tabs>
            <w:rPr>
              <w:rFonts w:asciiTheme="minorHAnsi" w:eastAsiaTheme="minorEastAsia" w:hAnsiTheme="minorHAnsi" w:cstheme="minorBidi"/>
              <w:noProof/>
            </w:rPr>
          </w:pPr>
          <w:hyperlink w:anchor="_Toc232759448" w:history="1">
            <w:r w:rsidR="003506AE" w:rsidRPr="005435C5">
              <w:rPr>
                <w:rStyle w:val="Lienhypertexte"/>
                <w:rFonts w:cstheme="minorHAnsi"/>
                <w:noProof/>
              </w:rPr>
              <w:t>2.1. Besoins</w:t>
            </w:r>
            <w:r w:rsidR="003506AE">
              <w:rPr>
                <w:noProof/>
              </w:rPr>
              <w:tab/>
            </w:r>
            <w:r w:rsidR="003506AE">
              <w:rPr>
                <w:noProof/>
              </w:rPr>
              <w:fldChar w:fldCharType="begin"/>
            </w:r>
            <w:r w:rsidR="003506AE">
              <w:rPr>
                <w:noProof/>
              </w:rPr>
              <w:instrText xml:space="preserve"> PAGEREF _Toc232759448 \h </w:instrText>
            </w:r>
            <w:r w:rsidR="003506AE">
              <w:rPr>
                <w:noProof/>
              </w:rPr>
            </w:r>
            <w:r w:rsidR="003506AE">
              <w:rPr>
                <w:noProof/>
              </w:rPr>
              <w:fldChar w:fldCharType="separate"/>
            </w:r>
            <w:r w:rsidR="00352778">
              <w:rPr>
                <w:noProof/>
              </w:rPr>
              <w:t>5</w:t>
            </w:r>
            <w:r w:rsidR="003506AE">
              <w:rPr>
                <w:noProof/>
              </w:rPr>
              <w:fldChar w:fldCharType="end"/>
            </w:r>
          </w:hyperlink>
        </w:p>
        <w:p w14:paraId="0D850965" w14:textId="0D3DD40D" w:rsidR="003506AE" w:rsidRDefault="00EF3D2B">
          <w:pPr>
            <w:pStyle w:val="TM2"/>
            <w:tabs>
              <w:tab w:val="right" w:leader="dot" w:pos="9296"/>
            </w:tabs>
            <w:rPr>
              <w:rFonts w:asciiTheme="minorHAnsi" w:eastAsiaTheme="minorEastAsia" w:hAnsiTheme="minorHAnsi" w:cstheme="minorBidi"/>
              <w:noProof/>
            </w:rPr>
          </w:pPr>
          <w:hyperlink w:anchor="_Toc232759449" w:history="1">
            <w:r w:rsidR="003506AE" w:rsidRPr="005435C5">
              <w:rPr>
                <w:rStyle w:val="Lienhypertexte"/>
                <w:rFonts w:cstheme="minorHAnsi"/>
                <w:noProof/>
              </w:rPr>
              <w:t>2.2. Volumes et évolution prévisionnelle</w:t>
            </w:r>
            <w:r w:rsidR="003506AE">
              <w:rPr>
                <w:noProof/>
              </w:rPr>
              <w:tab/>
            </w:r>
            <w:r w:rsidR="003506AE">
              <w:rPr>
                <w:noProof/>
              </w:rPr>
              <w:fldChar w:fldCharType="begin"/>
            </w:r>
            <w:r w:rsidR="003506AE">
              <w:rPr>
                <w:noProof/>
              </w:rPr>
              <w:instrText xml:space="preserve"> PAGEREF _Toc232759449 \h </w:instrText>
            </w:r>
            <w:r w:rsidR="003506AE">
              <w:rPr>
                <w:noProof/>
              </w:rPr>
            </w:r>
            <w:r w:rsidR="003506AE">
              <w:rPr>
                <w:noProof/>
              </w:rPr>
              <w:fldChar w:fldCharType="separate"/>
            </w:r>
            <w:r w:rsidR="00352778">
              <w:rPr>
                <w:noProof/>
              </w:rPr>
              <w:t>5</w:t>
            </w:r>
            <w:r w:rsidR="003506AE">
              <w:rPr>
                <w:noProof/>
              </w:rPr>
              <w:fldChar w:fldCharType="end"/>
            </w:r>
          </w:hyperlink>
        </w:p>
        <w:p w14:paraId="43C61E04" w14:textId="51654BDB" w:rsidR="003506AE" w:rsidRDefault="00EF3D2B">
          <w:pPr>
            <w:pStyle w:val="TM2"/>
            <w:tabs>
              <w:tab w:val="right" w:leader="dot" w:pos="9296"/>
            </w:tabs>
            <w:rPr>
              <w:rFonts w:asciiTheme="minorHAnsi" w:eastAsiaTheme="minorEastAsia" w:hAnsiTheme="minorHAnsi" w:cstheme="minorBidi"/>
              <w:noProof/>
            </w:rPr>
          </w:pPr>
          <w:hyperlink w:anchor="_Toc232759450" w:history="1">
            <w:r w:rsidR="003506AE" w:rsidRPr="005435C5">
              <w:rPr>
                <w:rStyle w:val="Lienhypertexte"/>
                <w:rFonts w:cstheme="minorHAnsi"/>
                <w:noProof/>
              </w:rPr>
              <w:t>2.3. Modalités de réponse – Formule MAD totale 8 ans</w:t>
            </w:r>
            <w:r w:rsidR="003506AE">
              <w:rPr>
                <w:noProof/>
              </w:rPr>
              <w:tab/>
            </w:r>
            <w:r w:rsidR="003506AE">
              <w:rPr>
                <w:noProof/>
              </w:rPr>
              <w:fldChar w:fldCharType="begin"/>
            </w:r>
            <w:r w:rsidR="003506AE">
              <w:rPr>
                <w:noProof/>
              </w:rPr>
              <w:instrText xml:space="preserve"> PAGEREF _Toc232759450 \h </w:instrText>
            </w:r>
            <w:r w:rsidR="003506AE">
              <w:rPr>
                <w:noProof/>
              </w:rPr>
            </w:r>
            <w:r w:rsidR="003506AE">
              <w:rPr>
                <w:noProof/>
              </w:rPr>
              <w:fldChar w:fldCharType="separate"/>
            </w:r>
            <w:r w:rsidR="00352778">
              <w:rPr>
                <w:noProof/>
              </w:rPr>
              <w:t>5</w:t>
            </w:r>
            <w:r w:rsidR="003506AE">
              <w:rPr>
                <w:noProof/>
              </w:rPr>
              <w:fldChar w:fldCharType="end"/>
            </w:r>
          </w:hyperlink>
        </w:p>
        <w:p w14:paraId="227A58E2" w14:textId="69CDC7C6" w:rsidR="003506AE" w:rsidRDefault="00EF3D2B">
          <w:pPr>
            <w:pStyle w:val="TM2"/>
            <w:tabs>
              <w:tab w:val="right" w:leader="dot" w:pos="9296"/>
            </w:tabs>
            <w:rPr>
              <w:rFonts w:asciiTheme="minorHAnsi" w:eastAsiaTheme="minorEastAsia" w:hAnsiTheme="minorHAnsi" w:cstheme="minorBidi"/>
              <w:noProof/>
            </w:rPr>
          </w:pPr>
          <w:hyperlink w:anchor="_Toc232759451" w:history="1">
            <w:r w:rsidR="003506AE" w:rsidRPr="005435C5">
              <w:rPr>
                <w:rStyle w:val="Lienhypertexte"/>
                <w:rFonts w:cstheme="minorHAnsi"/>
                <w:noProof/>
              </w:rPr>
              <w:t>2.4. Prestations incluses dans la MAD totale</w:t>
            </w:r>
            <w:r w:rsidR="003506AE">
              <w:rPr>
                <w:noProof/>
              </w:rPr>
              <w:tab/>
            </w:r>
            <w:r w:rsidR="003506AE">
              <w:rPr>
                <w:noProof/>
              </w:rPr>
              <w:fldChar w:fldCharType="begin"/>
            </w:r>
            <w:r w:rsidR="003506AE">
              <w:rPr>
                <w:noProof/>
              </w:rPr>
              <w:instrText xml:space="preserve"> PAGEREF _Toc232759451 \h </w:instrText>
            </w:r>
            <w:r w:rsidR="003506AE">
              <w:rPr>
                <w:noProof/>
              </w:rPr>
            </w:r>
            <w:r w:rsidR="003506AE">
              <w:rPr>
                <w:noProof/>
              </w:rPr>
              <w:fldChar w:fldCharType="separate"/>
            </w:r>
            <w:r w:rsidR="00352778">
              <w:rPr>
                <w:noProof/>
              </w:rPr>
              <w:t>5</w:t>
            </w:r>
            <w:r w:rsidR="003506AE">
              <w:rPr>
                <w:noProof/>
              </w:rPr>
              <w:fldChar w:fldCharType="end"/>
            </w:r>
          </w:hyperlink>
        </w:p>
        <w:p w14:paraId="4AB09497" w14:textId="44354071" w:rsidR="003506AE" w:rsidRDefault="00EF3D2B">
          <w:pPr>
            <w:pStyle w:val="TM2"/>
            <w:tabs>
              <w:tab w:val="right" w:leader="dot" w:pos="9296"/>
            </w:tabs>
            <w:rPr>
              <w:rFonts w:asciiTheme="minorHAnsi" w:eastAsiaTheme="minorEastAsia" w:hAnsiTheme="minorHAnsi" w:cstheme="minorBidi"/>
              <w:noProof/>
            </w:rPr>
          </w:pPr>
          <w:hyperlink w:anchor="_Toc232759452" w:history="1">
            <w:r w:rsidR="003506AE" w:rsidRPr="005435C5">
              <w:rPr>
                <w:rStyle w:val="Lienhypertexte"/>
                <w:rFonts w:cstheme="minorHAnsi"/>
                <w:noProof/>
              </w:rPr>
              <w:t>2.5. Équipements neufs uniquement – Variantes interdites</w:t>
            </w:r>
            <w:r w:rsidR="003506AE">
              <w:rPr>
                <w:noProof/>
              </w:rPr>
              <w:tab/>
            </w:r>
            <w:r w:rsidR="003506AE">
              <w:rPr>
                <w:noProof/>
              </w:rPr>
              <w:fldChar w:fldCharType="begin"/>
            </w:r>
            <w:r w:rsidR="003506AE">
              <w:rPr>
                <w:noProof/>
              </w:rPr>
              <w:instrText xml:space="preserve"> PAGEREF _Toc232759452 \h </w:instrText>
            </w:r>
            <w:r w:rsidR="003506AE">
              <w:rPr>
                <w:noProof/>
              </w:rPr>
            </w:r>
            <w:r w:rsidR="003506AE">
              <w:rPr>
                <w:noProof/>
              </w:rPr>
              <w:fldChar w:fldCharType="separate"/>
            </w:r>
            <w:r w:rsidR="00352778">
              <w:rPr>
                <w:noProof/>
              </w:rPr>
              <w:t>6</w:t>
            </w:r>
            <w:r w:rsidR="003506AE">
              <w:rPr>
                <w:noProof/>
              </w:rPr>
              <w:fldChar w:fldCharType="end"/>
            </w:r>
          </w:hyperlink>
        </w:p>
        <w:p w14:paraId="7341516C" w14:textId="7D613446" w:rsidR="003506AE" w:rsidRDefault="00EF3D2B">
          <w:pPr>
            <w:pStyle w:val="TM2"/>
            <w:tabs>
              <w:tab w:val="right" w:leader="dot" w:pos="9296"/>
            </w:tabs>
            <w:rPr>
              <w:rFonts w:asciiTheme="minorHAnsi" w:eastAsiaTheme="minorEastAsia" w:hAnsiTheme="minorHAnsi" w:cstheme="minorBidi"/>
              <w:noProof/>
            </w:rPr>
          </w:pPr>
          <w:hyperlink w:anchor="_Toc232759453" w:history="1">
            <w:r w:rsidR="003506AE" w:rsidRPr="005435C5">
              <w:rPr>
                <w:rStyle w:val="Lienhypertexte"/>
                <w:rFonts w:cstheme="minorHAnsi"/>
                <w:noProof/>
              </w:rPr>
              <w:t>2.6. Description du parc et des services à équiper</w:t>
            </w:r>
            <w:r w:rsidR="003506AE">
              <w:rPr>
                <w:noProof/>
              </w:rPr>
              <w:tab/>
            </w:r>
            <w:r w:rsidR="003506AE">
              <w:rPr>
                <w:noProof/>
              </w:rPr>
              <w:fldChar w:fldCharType="begin"/>
            </w:r>
            <w:r w:rsidR="003506AE">
              <w:rPr>
                <w:noProof/>
              </w:rPr>
              <w:instrText xml:space="preserve"> PAGEREF _Toc232759453 \h </w:instrText>
            </w:r>
            <w:r w:rsidR="003506AE">
              <w:rPr>
                <w:noProof/>
              </w:rPr>
            </w:r>
            <w:r w:rsidR="003506AE">
              <w:rPr>
                <w:noProof/>
              </w:rPr>
              <w:fldChar w:fldCharType="separate"/>
            </w:r>
            <w:r w:rsidR="00352778">
              <w:rPr>
                <w:noProof/>
              </w:rPr>
              <w:t>7</w:t>
            </w:r>
            <w:r w:rsidR="003506AE">
              <w:rPr>
                <w:noProof/>
              </w:rPr>
              <w:fldChar w:fldCharType="end"/>
            </w:r>
          </w:hyperlink>
        </w:p>
        <w:p w14:paraId="2BDDA402" w14:textId="707B4F63" w:rsidR="003506AE" w:rsidRDefault="00EF3D2B">
          <w:pPr>
            <w:pStyle w:val="TM2"/>
            <w:tabs>
              <w:tab w:val="right" w:leader="dot" w:pos="9296"/>
            </w:tabs>
            <w:rPr>
              <w:rFonts w:asciiTheme="minorHAnsi" w:eastAsiaTheme="minorEastAsia" w:hAnsiTheme="minorHAnsi" w:cstheme="minorBidi"/>
              <w:noProof/>
            </w:rPr>
          </w:pPr>
          <w:hyperlink w:anchor="_Toc232759454" w:history="1">
            <w:r w:rsidR="003506AE" w:rsidRPr="005435C5">
              <w:rPr>
                <w:rStyle w:val="Lienhypertexte"/>
                <w:rFonts w:cstheme="minorHAnsi"/>
                <w:noProof/>
              </w:rPr>
              <w:t>2.8. PSE facultatives</w:t>
            </w:r>
            <w:r w:rsidR="003506AE">
              <w:rPr>
                <w:noProof/>
              </w:rPr>
              <w:tab/>
            </w:r>
            <w:r w:rsidR="003506AE">
              <w:rPr>
                <w:noProof/>
              </w:rPr>
              <w:fldChar w:fldCharType="begin"/>
            </w:r>
            <w:r w:rsidR="003506AE">
              <w:rPr>
                <w:noProof/>
              </w:rPr>
              <w:instrText xml:space="preserve"> PAGEREF _Toc232759454 \h </w:instrText>
            </w:r>
            <w:r w:rsidR="003506AE">
              <w:rPr>
                <w:noProof/>
              </w:rPr>
            </w:r>
            <w:r w:rsidR="003506AE">
              <w:rPr>
                <w:noProof/>
              </w:rPr>
              <w:fldChar w:fldCharType="separate"/>
            </w:r>
            <w:r w:rsidR="00352778">
              <w:rPr>
                <w:noProof/>
              </w:rPr>
              <w:t>9</w:t>
            </w:r>
            <w:r w:rsidR="003506AE">
              <w:rPr>
                <w:noProof/>
              </w:rPr>
              <w:fldChar w:fldCharType="end"/>
            </w:r>
          </w:hyperlink>
        </w:p>
        <w:p w14:paraId="70E9994B" w14:textId="612C2789" w:rsidR="003506AE" w:rsidRDefault="00EF3D2B">
          <w:pPr>
            <w:pStyle w:val="TM1"/>
            <w:tabs>
              <w:tab w:val="right" w:leader="dot" w:pos="9296"/>
            </w:tabs>
            <w:rPr>
              <w:rFonts w:asciiTheme="minorHAnsi" w:eastAsiaTheme="minorEastAsia" w:hAnsiTheme="minorHAnsi" w:cstheme="minorBidi"/>
              <w:noProof/>
            </w:rPr>
          </w:pPr>
          <w:hyperlink w:anchor="_Toc232759455" w:history="1">
            <w:r w:rsidR="003506AE" w:rsidRPr="005435C5">
              <w:rPr>
                <w:rStyle w:val="Lienhypertexte"/>
                <w:rFonts w:cstheme="minorHAnsi"/>
                <w:noProof/>
              </w:rPr>
              <w:t>3. Prestations</w:t>
            </w:r>
            <w:r w:rsidR="003506AE">
              <w:rPr>
                <w:noProof/>
              </w:rPr>
              <w:tab/>
            </w:r>
            <w:r w:rsidR="003506AE">
              <w:rPr>
                <w:noProof/>
              </w:rPr>
              <w:fldChar w:fldCharType="begin"/>
            </w:r>
            <w:r w:rsidR="003506AE">
              <w:rPr>
                <w:noProof/>
              </w:rPr>
              <w:instrText xml:space="preserve"> PAGEREF _Toc232759455 \h </w:instrText>
            </w:r>
            <w:r w:rsidR="003506AE">
              <w:rPr>
                <w:noProof/>
              </w:rPr>
            </w:r>
            <w:r w:rsidR="003506AE">
              <w:rPr>
                <w:noProof/>
              </w:rPr>
              <w:fldChar w:fldCharType="separate"/>
            </w:r>
            <w:r w:rsidR="00352778">
              <w:rPr>
                <w:noProof/>
              </w:rPr>
              <w:t>9</w:t>
            </w:r>
            <w:r w:rsidR="003506AE">
              <w:rPr>
                <w:noProof/>
              </w:rPr>
              <w:fldChar w:fldCharType="end"/>
            </w:r>
          </w:hyperlink>
        </w:p>
        <w:p w14:paraId="4CAAD7C5" w14:textId="6B9286A3" w:rsidR="003506AE" w:rsidRDefault="00EF3D2B">
          <w:pPr>
            <w:pStyle w:val="TM2"/>
            <w:tabs>
              <w:tab w:val="right" w:leader="dot" w:pos="9296"/>
            </w:tabs>
            <w:rPr>
              <w:rFonts w:asciiTheme="minorHAnsi" w:eastAsiaTheme="minorEastAsia" w:hAnsiTheme="minorHAnsi" w:cstheme="minorBidi"/>
              <w:noProof/>
            </w:rPr>
          </w:pPr>
          <w:hyperlink w:anchor="_Toc232759456" w:history="1">
            <w:r w:rsidR="003506AE" w:rsidRPr="005435C5">
              <w:rPr>
                <w:rStyle w:val="Lienhypertexte"/>
                <w:rFonts w:cstheme="minorHAnsi"/>
                <w:noProof/>
              </w:rPr>
              <w:t>3.1. Mise en œuvre des applications et validation des méthodes</w:t>
            </w:r>
            <w:r w:rsidR="003506AE">
              <w:rPr>
                <w:noProof/>
              </w:rPr>
              <w:tab/>
            </w:r>
            <w:r w:rsidR="003506AE">
              <w:rPr>
                <w:noProof/>
              </w:rPr>
              <w:fldChar w:fldCharType="begin"/>
            </w:r>
            <w:r w:rsidR="003506AE">
              <w:rPr>
                <w:noProof/>
              </w:rPr>
              <w:instrText xml:space="preserve"> PAGEREF _Toc232759456 \h </w:instrText>
            </w:r>
            <w:r w:rsidR="003506AE">
              <w:rPr>
                <w:noProof/>
              </w:rPr>
            </w:r>
            <w:r w:rsidR="003506AE">
              <w:rPr>
                <w:noProof/>
              </w:rPr>
              <w:fldChar w:fldCharType="separate"/>
            </w:r>
            <w:r w:rsidR="00352778">
              <w:rPr>
                <w:noProof/>
              </w:rPr>
              <w:t>9</w:t>
            </w:r>
            <w:r w:rsidR="003506AE">
              <w:rPr>
                <w:noProof/>
              </w:rPr>
              <w:fldChar w:fldCharType="end"/>
            </w:r>
          </w:hyperlink>
        </w:p>
        <w:p w14:paraId="51246E6B" w14:textId="22EDE8D8" w:rsidR="003506AE" w:rsidRDefault="00EF3D2B">
          <w:pPr>
            <w:pStyle w:val="TM2"/>
            <w:tabs>
              <w:tab w:val="right" w:leader="dot" w:pos="9296"/>
            </w:tabs>
            <w:rPr>
              <w:rFonts w:asciiTheme="minorHAnsi" w:eastAsiaTheme="minorEastAsia" w:hAnsiTheme="minorHAnsi" w:cstheme="minorBidi"/>
              <w:noProof/>
            </w:rPr>
          </w:pPr>
          <w:hyperlink w:anchor="_Toc232759457" w:history="1">
            <w:r w:rsidR="003506AE" w:rsidRPr="005435C5">
              <w:rPr>
                <w:rStyle w:val="Lienhypertexte"/>
                <w:rFonts w:cstheme="minorHAnsi"/>
                <w:noProof/>
              </w:rPr>
              <w:t>3.2. Équipements</w:t>
            </w:r>
            <w:r w:rsidR="003506AE">
              <w:rPr>
                <w:noProof/>
              </w:rPr>
              <w:tab/>
            </w:r>
            <w:r w:rsidR="003506AE">
              <w:rPr>
                <w:noProof/>
              </w:rPr>
              <w:fldChar w:fldCharType="begin"/>
            </w:r>
            <w:r w:rsidR="003506AE">
              <w:rPr>
                <w:noProof/>
              </w:rPr>
              <w:instrText xml:space="preserve"> PAGEREF _Toc232759457 \h </w:instrText>
            </w:r>
            <w:r w:rsidR="003506AE">
              <w:rPr>
                <w:noProof/>
              </w:rPr>
            </w:r>
            <w:r w:rsidR="003506AE">
              <w:rPr>
                <w:noProof/>
              </w:rPr>
              <w:fldChar w:fldCharType="separate"/>
            </w:r>
            <w:r w:rsidR="00352778">
              <w:rPr>
                <w:noProof/>
              </w:rPr>
              <w:t>9</w:t>
            </w:r>
            <w:r w:rsidR="003506AE">
              <w:rPr>
                <w:noProof/>
              </w:rPr>
              <w:fldChar w:fldCharType="end"/>
            </w:r>
          </w:hyperlink>
        </w:p>
        <w:p w14:paraId="7DACCE24" w14:textId="573187AB" w:rsidR="003506AE" w:rsidRDefault="00EF3D2B">
          <w:pPr>
            <w:pStyle w:val="TM2"/>
            <w:tabs>
              <w:tab w:val="right" w:leader="dot" w:pos="9296"/>
            </w:tabs>
            <w:rPr>
              <w:rFonts w:asciiTheme="minorHAnsi" w:eastAsiaTheme="minorEastAsia" w:hAnsiTheme="minorHAnsi" w:cstheme="minorBidi"/>
              <w:noProof/>
            </w:rPr>
          </w:pPr>
          <w:hyperlink w:anchor="_Toc232759458" w:history="1">
            <w:r w:rsidR="003506AE" w:rsidRPr="005435C5">
              <w:rPr>
                <w:rStyle w:val="Lienhypertexte"/>
                <w:rFonts w:cstheme="minorHAnsi"/>
                <w:noProof/>
              </w:rPr>
              <w:t>3.3. Formation et habilitation</w:t>
            </w:r>
            <w:r w:rsidR="003506AE">
              <w:rPr>
                <w:noProof/>
              </w:rPr>
              <w:tab/>
            </w:r>
            <w:r w:rsidR="003506AE">
              <w:rPr>
                <w:noProof/>
              </w:rPr>
              <w:fldChar w:fldCharType="begin"/>
            </w:r>
            <w:r w:rsidR="003506AE">
              <w:rPr>
                <w:noProof/>
              </w:rPr>
              <w:instrText xml:space="preserve"> PAGEREF _Toc232759458 \h </w:instrText>
            </w:r>
            <w:r w:rsidR="003506AE">
              <w:rPr>
                <w:noProof/>
              </w:rPr>
            </w:r>
            <w:r w:rsidR="003506AE">
              <w:rPr>
                <w:noProof/>
              </w:rPr>
              <w:fldChar w:fldCharType="separate"/>
            </w:r>
            <w:r w:rsidR="00352778">
              <w:rPr>
                <w:noProof/>
              </w:rPr>
              <w:t>10</w:t>
            </w:r>
            <w:r w:rsidR="003506AE">
              <w:rPr>
                <w:noProof/>
              </w:rPr>
              <w:fldChar w:fldCharType="end"/>
            </w:r>
          </w:hyperlink>
        </w:p>
        <w:p w14:paraId="696D4206" w14:textId="6D98A412" w:rsidR="003506AE" w:rsidRDefault="00EF3D2B">
          <w:pPr>
            <w:pStyle w:val="TM1"/>
            <w:tabs>
              <w:tab w:val="right" w:leader="dot" w:pos="9296"/>
            </w:tabs>
            <w:rPr>
              <w:rFonts w:asciiTheme="minorHAnsi" w:eastAsiaTheme="minorEastAsia" w:hAnsiTheme="minorHAnsi" w:cstheme="minorBidi"/>
              <w:noProof/>
            </w:rPr>
          </w:pPr>
          <w:hyperlink w:anchor="_Toc232759459" w:history="1">
            <w:r w:rsidR="003506AE" w:rsidRPr="005435C5">
              <w:rPr>
                <w:rStyle w:val="Lienhypertexte"/>
                <w:rFonts w:cstheme="minorHAnsi"/>
                <w:noProof/>
              </w:rPr>
              <w:t>4. Performances instrumentales attendues</w:t>
            </w:r>
            <w:r w:rsidR="003506AE">
              <w:rPr>
                <w:noProof/>
              </w:rPr>
              <w:tab/>
            </w:r>
            <w:r w:rsidR="003506AE">
              <w:rPr>
                <w:noProof/>
              </w:rPr>
              <w:fldChar w:fldCharType="begin"/>
            </w:r>
            <w:r w:rsidR="003506AE">
              <w:rPr>
                <w:noProof/>
              </w:rPr>
              <w:instrText xml:space="preserve"> PAGEREF _Toc232759459 \h </w:instrText>
            </w:r>
            <w:r w:rsidR="003506AE">
              <w:rPr>
                <w:noProof/>
              </w:rPr>
            </w:r>
            <w:r w:rsidR="003506AE">
              <w:rPr>
                <w:noProof/>
              </w:rPr>
              <w:fldChar w:fldCharType="separate"/>
            </w:r>
            <w:r w:rsidR="00352778">
              <w:rPr>
                <w:noProof/>
              </w:rPr>
              <w:t>12</w:t>
            </w:r>
            <w:r w:rsidR="003506AE">
              <w:rPr>
                <w:noProof/>
              </w:rPr>
              <w:fldChar w:fldCharType="end"/>
            </w:r>
          </w:hyperlink>
        </w:p>
        <w:p w14:paraId="1F8ABF44" w14:textId="5D5582DB" w:rsidR="003506AE" w:rsidRDefault="00EF3D2B">
          <w:pPr>
            <w:pStyle w:val="TM2"/>
            <w:tabs>
              <w:tab w:val="right" w:leader="dot" w:pos="9296"/>
            </w:tabs>
            <w:rPr>
              <w:rFonts w:asciiTheme="minorHAnsi" w:eastAsiaTheme="minorEastAsia" w:hAnsiTheme="minorHAnsi" w:cstheme="minorBidi"/>
              <w:noProof/>
            </w:rPr>
          </w:pPr>
          <w:hyperlink w:anchor="_Toc232759460" w:history="1">
            <w:r w:rsidR="003506AE" w:rsidRPr="005435C5">
              <w:rPr>
                <w:rStyle w:val="Lienhypertexte"/>
                <w:rFonts w:cstheme="minorHAnsi"/>
                <w:noProof/>
              </w:rPr>
              <w:t>4.1. Performances analytiques attendues</w:t>
            </w:r>
            <w:r w:rsidR="003506AE">
              <w:rPr>
                <w:noProof/>
              </w:rPr>
              <w:tab/>
            </w:r>
            <w:r w:rsidR="003506AE">
              <w:rPr>
                <w:noProof/>
              </w:rPr>
              <w:fldChar w:fldCharType="begin"/>
            </w:r>
            <w:r w:rsidR="003506AE">
              <w:rPr>
                <w:noProof/>
              </w:rPr>
              <w:instrText xml:space="preserve"> PAGEREF _Toc232759460 \h </w:instrText>
            </w:r>
            <w:r w:rsidR="003506AE">
              <w:rPr>
                <w:noProof/>
              </w:rPr>
            </w:r>
            <w:r w:rsidR="003506AE">
              <w:rPr>
                <w:noProof/>
              </w:rPr>
              <w:fldChar w:fldCharType="separate"/>
            </w:r>
            <w:r w:rsidR="00352778">
              <w:rPr>
                <w:noProof/>
              </w:rPr>
              <w:t>12</w:t>
            </w:r>
            <w:r w:rsidR="003506AE">
              <w:rPr>
                <w:noProof/>
              </w:rPr>
              <w:fldChar w:fldCharType="end"/>
            </w:r>
          </w:hyperlink>
        </w:p>
        <w:p w14:paraId="28D85A70" w14:textId="2C5A0763" w:rsidR="003506AE" w:rsidRDefault="00EF3D2B">
          <w:pPr>
            <w:pStyle w:val="TM2"/>
            <w:tabs>
              <w:tab w:val="right" w:leader="dot" w:pos="9296"/>
            </w:tabs>
            <w:rPr>
              <w:rFonts w:asciiTheme="minorHAnsi" w:eastAsiaTheme="minorEastAsia" w:hAnsiTheme="minorHAnsi" w:cstheme="minorBidi"/>
              <w:noProof/>
            </w:rPr>
          </w:pPr>
          <w:hyperlink w:anchor="_Toc232759461" w:history="1">
            <w:r w:rsidR="003506AE" w:rsidRPr="005435C5">
              <w:rPr>
                <w:rStyle w:val="Lienhypertexte"/>
                <w:rFonts w:cstheme="minorHAnsi"/>
                <w:noProof/>
              </w:rPr>
              <w:t>4.2. Documentations techniques</w:t>
            </w:r>
            <w:r w:rsidR="003506AE">
              <w:rPr>
                <w:noProof/>
              </w:rPr>
              <w:tab/>
            </w:r>
            <w:r w:rsidR="003506AE">
              <w:rPr>
                <w:noProof/>
              </w:rPr>
              <w:fldChar w:fldCharType="begin"/>
            </w:r>
            <w:r w:rsidR="003506AE">
              <w:rPr>
                <w:noProof/>
              </w:rPr>
              <w:instrText xml:space="preserve"> PAGEREF _Toc232759461 \h </w:instrText>
            </w:r>
            <w:r w:rsidR="003506AE">
              <w:rPr>
                <w:noProof/>
              </w:rPr>
            </w:r>
            <w:r w:rsidR="003506AE">
              <w:rPr>
                <w:noProof/>
              </w:rPr>
              <w:fldChar w:fldCharType="separate"/>
            </w:r>
            <w:r w:rsidR="00352778">
              <w:rPr>
                <w:noProof/>
              </w:rPr>
              <w:t>13</w:t>
            </w:r>
            <w:r w:rsidR="003506AE">
              <w:rPr>
                <w:noProof/>
              </w:rPr>
              <w:fldChar w:fldCharType="end"/>
            </w:r>
          </w:hyperlink>
        </w:p>
        <w:p w14:paraId="0F124026" w14:textId="11EC6F93" w:rsidR="003506AE" w:rsidRDefault="00EF3D2B">
          <w:pPr>
            <w:pStyle w:val="TM3"/>
            <w:tabs>
              <w:tab w:val="right" w:leader="dot" w:pos="9296"/>
            </w:tabs>
            <w:rPr>
              <w:rFonts w:asciiTheme="minorHAnsi" w:eastAsiaTheme="minorEastAsia" w:hAnsiTheme="minorHAnsi" w:cstheme="minorBidi"/>
              <w:noProof/>
            </w:rPr>
          </w:pPr>
          <w:hyperlink w:anchor="_Toc232759462" w:history="1">
            <w:r w:rsidR="003506AE" w:rsidRPr="005435C5">
              <w:rPr>
                <w:rStyle w:val="Lienhypertexte"/>
                <w:rFonts w:cstheme="minorHAnsi"/>
                <w:noProof/>
              </w:rPr>
              <w:t>4.2.1. Utilisation de l’instrument</w:t>
            </w:r>
            <w:r w:rsidR="003506AE">
              <w:rPr>
                <w:noProof/>
              </w:rPr>
              <w:tab/>
            </w:r>
            <w:r w:rsidR="003506AE">
              <w:rPr>
                <w:noProof/>
              </w:rPr>
              <w:fldChar w:fldCharType="begin"/>
            </w:r>
            <w:r w:rsidR="003506AE">
              <w:rPr>
                <w:noProof/>
              </w:rPr>
              <w:instrText xml:space="preserve"> PAGEREF _Toc232759462 \h </w:instrText>
            </w:r>
            <w:r w:rsidR="003506AE">
              <w:rPr>
                <w:noProof/>
              </w:rPr>
            </w:r>
            <w:r w:rsidR="003506AE">
              <w:rPr>
                <w:noProof/>
              </w:rPr>
              <w:fldChar w:fldCharType="separate"/>
            </w:r>
            <w:r w:rsidR="00352778">
              <w:rPr>
                <w:noProof/>
              </w:rPr>
              <w:t>13</w:t>
            </w:r>
            <w:r w:rsidR="003506AE">
              <w:rPr>
                <w:noProof/>
              </w:rPr>
              <w:fldChar w:fldCharType="end"/>
            </w:r>
          </w:hyperlink>
        </w:p>
        <w:p w14:paraId="4A33B3E4" w14:textId="0F0FAD26" w:rsidR="003506AE" w:rsidRDefault="00EF3D2B">
          <w:pPr>
            <w:pStyle w:val="TM3"/>
            <w:tabs>
              <w:tab w:val="right" w:leader="dot" w:pos="9296"/>
            </w:tabs>
            <w:rPr>
              <w:rFonts w:asciiTheme="minorHAnsi" w:eastAsiaTheme="minorEastAsia" w:hAnsiTheme="minorHAnsi" w:cstheme="minorBidi"/>
              <w:noProof/>
            </w:rPr>
          </w:pPr>
          <w:hyperlink w:anchor="_Toc232759463" w:history="1">
            <w:r w:rsidR="003506AE" w:rsidRPr="005435C5">
              <w:rPr>
                <w:rStyle w:val="Lienhypertexte"/>
                <w:rFonts w:cstheme="minorHAnsi"/>
                <w:noProof/>
              </w:rPr>
              <w:t>4.2.2. Contrôles qualités</w:t>
            </w:r>
            <w:r w:rsidR="003506AE">
              <w:rPr>
                <w:noProof/>
              </w:rPr>
              <w:tab/>
            </w:r>
            <w:r w:rsidR="003506AE">
              <w:rPr>
                <w:noProof/>
              </w:rPr>
              <w:fldChar w:fldCharType="begin"/>
            </w:r>
            <w:r w:rsidR="003506AE">
              <w:rPr>
                <w:noProof/>
              </w:rPr>
              <w:instrText xml:space="preserve"> PAGEREF _Toc232759463 \h </w:instrText>
            </w:r>
            <w:r w:rsidR="003506AE">
              <w:rPr>
                <w:noProof/>
              </w:rPr>
            </w:r>
            <w:r w:rsidR="003506AE">
              <w:rPr>
                <w:noProof/>
              </w:rPr>
              <w:fldChar w:fldCharType="separate"/>
            </w:r>
            <w:r w:rsidR="00352778">
              <w:rPr>
                <w:noProof/>
              </w:rPr>
              <w:t>13</w:t>
            </w:r>
            <w:r w:rsidR="003506AE">
              <w:rPr>
                <w:noProof/>
              </w:rPr>
              <w:fldChar w:fldCharType="end"/>
            </w:r>
          </w:hyperlink>
        </w:p>
        <w:p w14:paraId="3C89139C" w14:textId="243F482B" w:rsidR="003506AE" w:rsidRDefault="00EF3D2B">
          <w:pPr>
            <w:pStyle w:val="TM3"/>
            <w:tabs>
              <w:tab w:val="right" w:leader="dot" w:pos="9296"/>
            </w:tabs>
            <w:rPr>
              <w:rFonts w:asciiTheme="minorHAnsi" w:eastAsiaTheme="minorEastAsia" w:hAnsiTheme="minorHAnsi" w:cstheme="minorBidi"/>
              <w:noProof/>
            </w:rPr>
          </w:pPr>
          <w:hyperlink w:anchor="_Toc232759464" w:history="1">
            <w:r w:rsidR="003506AE" w:rsidRPr="005435C5">
              <w:rPr>
                <w:rStyle w:val="Lienhypertexte"/>
                <w:rFonts w:cstheme="minorHAnsi"/>
                <w:noProof/>
              </w:rPr>
              <w:t>4.2.3. Environnement technique</w:t>
            </w:r>
            <w:r w:rsidR="003506AE">
              <w:rPr>
                <w:noProof/>
              </w:rPr>
              <w:tab/>
            </w:r>
            <w:r w:rsidR="003506AE">
              <w:rPr>
                <w:noProof/>
              </w:rPr>
              <w:fldChar w:fldCharType="begin"/>
            </w:r>
            <w:r w:rsidR="003506AE">
              <w:rPr>
                <w:noProof/>
              </w:rPr>
              <w:instrText xml:space="preserve"> PAGEREF _Toc232759464 \h </w:instrText>
            </w:r>
            <w:r w:rsidR="003506AE">
              <w:rPr>
                <w:noProof/>
              </w:rPr>
            </w:r>
            <w:r w:rsidR="003506AE">
              <w:rPr>
                <w:noProof/>
              </w:rPr>
              <w:fldChar w:fldCharType="separate"/>
            </w:r>
            <w:r w:rsidR="00352778">
              <w:rPr>
                <w:noProof/>
              </w:rPr>
              <w:t>14</w:t>
            </w:r>
            <w:r w:rsidR="003506AE">
              <w:rPr>
                <w:noProof/>
              </w:rPr>
              <w:fldChar w:fldCharType="end"/>
            </w:r>
          </w:hyperlink>
        </w:p>
        <w:p w14:paraId="71C22315" w14:textId="2FCD5912" w:rsidR="003506AE" w:rsidRDefault="00EF3D2B">
          <w:pPr>
            <w:pStyle w:val="TM3"/>
            <w:tabs>
              <w:tab w:val="right" w:leader="dot" w:pos="9296"/>
            </w:tabs>
            <w:rPr>
              <w:rFonts w:asciiTheme="minorHAnsi" w:eastAsiaTheme="minorEastAsia" w:hAnsiTheme="minorHAnsi" w:cstheme="minorBidi"/>
              <w:noProof/>
            </w:rPr>
          </w:pPr>
          <w:hyperlink w:anchor="_Toc232759465" w:history="1">
            <w:r w:rsidR="003506AE" w:rsidRPr="005435C5">
              <w:rPr>
                <w:rStyle w:val="Lienhypertexte"/>
                <w:rFonts w:cstheme="minorHAnsi"/>
                <w:noProof/>
              </w:rPr>
              <w:t>4.2.4. Maintenance des équipements</w:t>
            </w:r>
            <w:r w:rsidR="003506AE">
              <w:rPr>
                <w:noProof/>
              </w:rPr>
              <w:tab/>
            </w:r>
            <w:r w:rsidR="003506AE">
              <w:rPr>
                <w:noProof/>
              </w:rPr>
              <w:fldChar w:fldCharType="begin"/>
            </w:r>
            <w:r w:rsidR="003506AE">
              <w:rPr>
                <w:noProof/>
              </w:rPr>
              <w:instrText xml:space="preserve"> PAGEREF _Toc232759465 \h </w:instrText>
            </w:r>
            <w:r w:rsidR="003506AE">
              <w:rPr>
                <w:noProof/>
              </w:rPr>
            </w:r>
            <w:r w:rsidR="003506AE">
              <w:rPr>
                <w:noProof/>
              </w:rPr>
              <w:fldChar w:fldCharType="separate"/>
            </w:r>
            <w:r w:rsidR="00352778">
              <w:rPr>
                <w:noProof/>
              </w:rPr>
              <w:t>14</w:t>
            </w:r>
            <w:r w:rsidR="003506AE">
              <w:rPr>
                <w:noProof/>
              </w:rPr>
              <w:fldChar w:fldCharType="end"/>
            </w:r>
          </w:hyperlink>
        </w:p>
        <w:p w14:paraId="3FC8CD8C" w14:textId="4939AF3F" w:rsidR="003506AE" w:rsidRDefault="00EF3D2B">
          <w:pPr>
            <w:pStyle w:val="TM1"/>
            <w:tabs>
              <w:tab w:val="right" w:leader="dot" w:pos="9296"/>
            </w:tabs>
            <w:rPr>
              <w:rFonts w:asciiTheme="minorHAnsi" w:eastAsiaTheme="minorEastAsia" w:hAnsiTheme="minorHAnsi" w:cstheme="minorBidi"/>
              <w:noProof/>
            </w:rPr>
          </w:pPr>
          <w:hyperlink w:anchor="_Toc232759466" w:history="1">
            <w:r w:rsidR="003506AE" w:rsidRPr="005435C5">
              <w:rPr>
                <w:rStyle w:val="Lienhypertexte"/>
                <w:rFonts w:cstheme="minorHAnsi"/>
                <w:noProof/>
              </w:rPr>
              <w:t>5. Fonctionnalités attendues du middleware</w:t>
            </w:r>
            <w:r w:rsidR="003506AE">
              <w:rPr>
                <w:noProof/>
              </w:rPr>
              <w:tab/>
            </w:r>
            <w:r w:rsidR="003506AE">
              <w:rPr>
                <w:noProof/>
              </w:rPr>
              <w:fldChar w:fldCharType="begin"/>
            </w:r>
            <w:r w:rsidR="003506AE">
              <w:rPr>
                <w:noProof/>
              </w:rPr>
              <w:instrText xml:space="preserve"> PAGEREF _Toc232759466 \h </w:instrText>
            </w:r>
            <w:r w:rsidR="003506AE">
              <w:rPr>
                <w:noProof/>
              </w:rPr>
            </w:r>
            <w:r w:rsidR="003506AE">
              <w:rPr>
                <w:noProof/>
              </w:rPr>
              <w:fldChar w:fldCharType="separate"/>
            </w:r>
            <w:r w:rsidR="00352778">
              <w:rPr>
                <w:noProof/>
              </w:rPr>
              <w:t>15</w:t>
            </w:r>
            <w:r w:rsidR="003506AE">
              <w:rPr>
                <w:noProof/>
              </w:rPr>
              <w:fldChar w:fldCharType="end"/>
            </w:r>
          </w:hyperlink>
        </w:p>
        <w:p w14:paraId="15824383" w14:textId="658A47F3" w:rsidR="003506AE" w:rsidRDefault="00EF3D2B">
          <w:pPr>
            <w:pStyle w:val="TM3"/>
            <w:tabs>
              <w:tab w:val="right" w:leader="dot" w:pos="9296"/>
            </w:tabs>
            <w:rPr>
              <w:rFonts w:asciiTheme="minorHAnsi" w:eastAsiaTheme="minorEastAsia" w:hAnsiTheme="minorHAnsi" w:cstheme="minorBidi"/>
              <w:noProof/>
            </w:rPr>
          </w:pPr>
          <w:hyperlink w:anchor="_Toc232759467" w:history="1">
            <w:r w:rsidR="003506AE" w:rsidRPr="005435C5">
              <w:rPr>
                <w:rStyle w:val="Lienhypertexte"/>
                <w:rFonts w:cstheme="minorHAnsi"/>
                <w:noProof/>
              </w:rPr>
              <w:t>5.1 Gestion des opérateurs et des habilitations</w:t>
            </w:r>
            <w:r w:rsidR="003506AE">
              <w:rPr>
                <w:noProof/>
              </w:rPr>
              <w:tab/>
            </w:r>
            <w:r w:rsidR="003506AE">
              <w:rPr>
                <w:noProof/>
              </w:rPr>
              <w:fldChar w:fldCharType="begin"/>
            </w:r>
            <w:r w:rsidR="003506AE">
              <w:rPr>
                <w:noProof/>
              </w:rPr>
              <w:instrText xml:space="preserve"> PAGEREF _Toc232759467 \h </w:instrText>
            </w:r>
            <w:r w:rsidR="003506AE">
              <w:rPr>
                <w:noProof/>
              </w:rPr>
            </w:r>
            <w:r w:rsidR="003506AE">
              <w:rPr>
                <w:noProof/>
              </w:rPr>
              <w:fldChar w:fldCharType="separate"/>
            </w:r>
            <w:r w:rsidR="00352778">
              <w:rPr>
                <w:noProof/>
              </w:rPr>
              <w:t>15</w:t>
            </w:r>
            <w:r w:rsidR="003506AE">
              <w:rPr>
                <w:noProof/>
              </w:rPr>
              <w:fldChar w:fldCharType="end"/>
            </w:r>
          </w:hyperlink>
        </w:p>
        <w:p w14:paraId="4164AF4A" w14:textId="1733AABE" w:rsidR="003506AE" w:rsidRDefault="00EF3D2B">
          <w:pPr>
            <w:pStyle w:val="TM3"/>
            <w:tabs>
              <w:tab w:val="right" w:leader="dot" w:pos="9296"/>
            </w:tabs>
            <w:rPr>
              <w:rFonts w:asciiTheme="minorHAnsi" w:eastAsiaTheme="minorEastAsia" w:hAnsiTheme="minorHAnsi" w:cstheme="minorBidi"/>
              <w:noProof/>
            </w:rPr>
          </w:pPr>
          <w:hyperlink w:anchor="_Toc232759468" w:history="1">
            <w:r w:rsidR="003506AE" w:rsidRPr="005435C5">
              <w:rPr>
                <w:rStyle w:val="Lienhypertexte"/>
                <w:rFonts w:cstheme="minorHAnsi"/>
                <w:noProof/>
              </w:rPr>
              <w:t>5.2 Identito-vigilance et règles d'émission des résultats vers le SIL</w:t>
            </w:r>
            <w:r w:rsidR="003506AE">
              <w:rPr>
                <w:noProof/>
              </w:rPr>
              <w:tab/>
            </w:r>
            <w:r w:rsidR="003506AE">
              <w:rPr>
                <w:noProof/>
              </w:rPr>
              <w:fldChar w:fldCharType="begin"/>
            </w:r>
            <w:r w:rsidR="003506AE">
              <w:rPr>
                <w:noProof/>
              </w:rPr>
              <w:instrText xml:space="preserve"> PAGEREF _Toc232759468 \h </w:instrText>
            </w:r>
            <w:r w:rsidR="003506AE">
              <w:rPr>
                <w:noProof/>
              </w:rPr>
            </w:r>
            <w:r w:rsidR="003506AE">
              <w:rPr>
                <w:noProof/>
              </w:rPr>
              <w:fldChar w:fldCharType="separate"/>
            </w:r>
            <w:r w:rsidR="00352778">
              <w:rPr>
                <w:noProof/>
              </w:rPr>
              <w:t>15</w:t>
            </w:r>
            <w:r w:rsidR="003506AE">
              <w:rPr>
                <w:noProof/>
              </w:rPr>
              <w:fldChar w:fldCharType="end"/>
            </w:r>
          </w:hyperlink>
        </w:p>
        <w:p w14:paraId="4EA57449" w14:textId="49C61E1E" w:rsidR="003506AE" w:rsidRDefault="00EF3D2B">
          <w:pPr>
            <w:pStyle w:val="TM3"/>
            <w:tabs>
              <w:tab w:val="right" w:leader="dot" w:pos="9296"/>
            </w:tabs>
            <w:rPr>
              <w:rFonts w:asciiTheme="minorHAnsi" w:eastAsiaTheme="minorEastAsia" w:hAnsiTheme="minorHAnsi" w:cstheme="minorBidi"/>
              <w:noProof/>
            </w:rPr>
          </w:pPr>
          <w:hyperlink w:anchor="_Toc232759469" w:history="1">
            <w:r w:rsidR="003506AE" w:rsidRPr="005435C5">
              <w:rPr>
                <w:rStyle w:val="Lienhypertexte"/>
                <w:rFonts w:cstheme="minorHAnsi"/>
                <w:noProof/>
              </w:rPr>
              <w:t>5.3 Gestion des natures de prélèvement et des matrices</w:t>
            </w:r>
            <w:r w:rsidR="003506AE">
              <w:rPr>
                <w:noProof/>
              </w:rPr>
              <w:tab/>
            </w:r>
            <w:r w:rsidR="003506AE">
              <w:rPr>
                <w:noProof/>
              </w:rPr>
              <w:fldChar w:fldCharType="begin"/>
            </w:r>
            <w:r w:rsidR="003506AE">
              <w:rPr>
                <w:noProof/>
              </w:rPr>
              <w:instrText xml:space="preserve"> PAGEREF _Toc232759469 \h </w:instrText>
            </w:r>
            <w:r w:rsidR="003506AE">
              <w:rPr>
                <w:noProof/>
              </w:rPr>
            </w:r>
            <w:r w:rsidR="003506AE">
              <w:rPr>
                <w:noProof/>
              </w:rPr>
              <w:fldChar w:fldCharType="separate"/>
            </w:r>
            <w:r w:rsidR="00352778">
              <w:rPr>
                <w:noProof/>
              </w:rPr>
              <w:t>16</w:t>
            </w:r>
            <w:r w:rsidR="003506AE">
              <w:rPr>
                <w:noProof/>
              </w:rPr>
              <w:fldChar w:fldCharType="end"/>
            </w:r>
          </w:hyperlink>
        </w:p>
        <w:p w14:paraId="3C6AFC85" w14:textId="164529D1" w:rsidR="003506AE" w:rsidRDefault="00EF3D2B">
          <w:pPr>
            <w:pStyle w:val="TM3"/>
            <w:tabs>
              <w:tab w:val="right" w:leader="dot" w:pos="9296"/>
            </w:tabs>
            <w:rPr>
              <w:rFonts w:asciiTheme="minorHAnsi" w:eastAsiaTheme="minorEastAsia" w:hAnsiTheme="minorHAnsi" w:cstheme="minorBidi"/>
              <w:noProof/>
            </w:rPr>
          </w:pPr>
          <w:hyperlink w:anchor="_Toc232759470" w:history="1">
            <w:r w:rsidR="003506AE" w:rsidRPr="005435C5">
              <w:rPr>
                <w:rStyle w:val="Lienhypertexte"/>
                <w:rFonts w:cstheme="minorHAnsi"/>
                <w:noProof/>
              </w:rPr>
              <w:t>5.4 Suivi de production et journalisation</w:t>
            </w:r>
            <w:r w:rsidR="003506AE">
              <w:rPr>
                <w:noProof/>
              </w:rPr>
              <w:tab/>
            </w:r>
            <w:r w:rsidR="003506AE">
              <w:rPr>
                <w:noProof/>
              </w:rPr>
              <w:fldChar w:fldCharType="begin"/>
            </w:r>
            <w:r w:rsidR="003506AE">
              <w:rPr>
                <w:noProof/>
              </w:rPr>
              <w:instrText xml:space="preserve"> PAGEREF _Toc232759470 \h </w:instrText>
            </w:r>
            <w:r w:rsidR="003506AE">
              <w:rPr>
                <w:noProof/>
              </w:rPr>
            </w:r>
            <w:r w:rsidR="003506AE">
              <w:rPr>
                <w:noProof/>
              </w:rPr>
              <w:fldChar w:fldCharType="separate"/>
            </w:r>
            <w:r w:rsidR="00352778">
              <w:rPr>
                <w:noProof/>
              </w:rPr>
              <w:t>16</w:t>
            </w:r>
            <w:r w:rsidR="003506AE">
              <w:rPr>
                <w:noProof/>
              </w:rPr>
              <w:fldChar w:fldCharType="end"/>
            </w:r>
          </w:hyperlink>
        </w:p>
        <w:p w14:paraId="6F6658A6" w14:textId="28A05E1B" w:rsidR="003506AE" w:rsidRDefault="00EF3D2B">
          <w:pPr>
            <w:pStyle w:val="TM3"/>
            <w:tabs>
              <w:tab w:val="right" w:leader="dot" w:pos="9296"/>
            </w:tabs>
            <w:rPr>
              <w:rFonts w:asciiTheme="minorHAnsi" w:eastAsiaTheme="minorEastAsia" w:hAnsiTheme="minorHAnsi" w:cstheme="minorBidi"/>
              <w:noProof/>
            </w:rPr>
          </w:pPr>
          <w:hyperlink w:anchor="_Toc232759471" w:history="1">
            <w:r w:rsidR="003506AE" w:rsidRPr="005435C5">
              <w:rPr>
                <w:rStyle w:val="Lienhypertexte"/>
                <w:rFonts w:cstheme="minorHAnsi"/>
                <w:noProof/>
              </w:rPr>
              <w:t>5.5 Contrôles qualité et suivi des performances</w:t>
            </w:r>
            <w:r w:rsidR="003506AE">
              <w:rPr>
                <w:noProof/>
              </w:rPr>
              <w:tab/>
            </w:r>
            <w:r w:rsidR="003506AE">
              <w:rPr>
                <w:noProof/>
              </w:rPr>
              <w:fldChar w:fldCharType="begin"/>
            </w:r>
            <w:r w:rsidR="003506AE">
              <w:rPr>
                <w:noProof/>
              </w:rPr>
              <w:instrText xml:space="preserve"> PAGEREF _Toc232759471 \h </w:instrText>
            </w:r>
            <w:r w:rsidR="003506AE">
              <w:rPr>
                <w:noProof/>
              </w:rPr>
            </w:r>
            <w:r w:rsidR="003506AE">
              <w:rPr>
                <w:noProof/>
              </w:rPr>
              <w:fldChar w:fldCharType="separate"/>
            </w:r>
            <w:r w:rsidR="00352778">
              <w:rPr>
                <w:noProof/>
              </w:rPr>
              <w:t>16</w:t>
            </w:r>
            <w:r w:rsidR="003506AE">
              <w:rPr>
                <w:noProof/>
              </w:rPr>
              <w:fldChar w:fldCharType="end"/>
            </w:r>
          </w:hyperlink>
        </w:p>
        <w:p w14:paraId="4463CC72" w14:textId="5B5DE19A" w:rsidR="003506AE" w:rsidRDefault="00EF3D2B">
          <w:pPr>
            <w:pStyle w:val="TM3"/>
            <w:tabs>
              <w:tab w:val="right" w:leader="dot" w:pos="9296"/>
            </w:tabs>
            <w:rPr>
              <w:rFonts w:asciiTheme="minorHAnsi" w:eastAsiaTheme="minorEastAsia" w:hAnsiTheme="minorHAnsi" w:cstheme="minorBidi"/>
              <w:noProof/>
            </w:rPr>
          </w:pPr>
          <w:hyperlink w:anchor="_Toc232759472" w:history="1">
            <w:r w:rsidR="003506AE" w:rsidRPr="005435C5">
              <w:rPr>
                <w:rStyle w:val="Lienhypertexte"/>
                <w:rFonts w:cstheme="minorHAnsi"/>
                <w:noProof/>
              </w:rPr>
              <w:t>5.6 Rapports et exports</w:t>
            </w:r>
            <w:r w:rsidR="003506AE">
              <w:rPr>
                <w:noProof/>
              </w:rPr>
              <w:tab/>
            </w:r>
            <w:r w:rsidR="003506AE">
              <w:rPr>
                <w:noProof/>
              </w:rPr>
              <w:fldChar w:fldCharType="begin"/>
            </w:r>
            <w:r w:rsidR="003506AE">
              <w:rPr>
                <w:noProof/>
              </w:rPr>
              <w:instrText xml:space="preserve"> PAGEREF _Toc232759472 \h </w:instrText>
            </w:r>
            <w:r w:rsidR="003506AE">
              <w:rPr>
                <w:noProof/>
              </w:rPr>
            </w:r>
            <w:r w:rsidR="003506AE">
              <w:rPr>
                <w:noProof/>
              </w:rPr>
              <w:fldChar w:fldCharType="separate"/>
            </w:r>
            <w:r w:rsidR="00352778">
              <w:rPr>
                <w:noProof/>
              </w:rPr>
              <w:t>17</w:t>
            </w:r>
            <w:r w:rsidR="003506AE">
              <w:rPr>
                <w:noProof/>
              </w:rPr>
              <w:fldChar w:fldCharType="end"/>
            </w:r>
          </w:hyperlink>
        </w:p>
        <w:p w14:paraId="43A6F9DF" w14:textId="3966599A" w:rsidR="003506AE" w:rsidRDefault="00EF3D2B">
          <w:pPr>
            <w:pStyle w:val="TM3"/>
            <w:tabs>
              <w:tab w:val="right" w:leader="dot" w:pos="9296"/>
            </w:tabs>
            <w:rPr>
              <w:rFonts w:asciiTheme="minorHAnsi" w:eastAsiaTheme="minorEastAsia" w:hAnsiTheme="minorHAnsi" w:cstheme="minorBidi"/>
              <w:noProof/>
            </w:rPr>
          </w:pPr>
          <w:hyperlink w:anchor="_Toc232759473" w:history="1">
            <w:r w:rsidR="003506AE" w:rsidRPr="005435C5">
              <w:rPr>
                <w:rStyle w:val="Lienhypertexte"/>
                <w:rFonts w:cstheme="minorHAnsi"/>
                <w:noProof/>
              </w:rPr>
              <w:t>5.7 Prise en main et maintenance à distance des analyseurs</w:t>
            </w:r>
            <w:r w:rsidR="003506AE">
              <w:rPr>
                <w:noProof/>
              </w:rPr>
              <w:tab/>
            </w:r>
            <w:r w:rsidR="003506AE">
              <w:rPr>
                <w:noProof/>
              </w:rPr>
              <w:fldChar w:fldCharType="begin"/>
            </w:r>
            <w:r w:rsidR="003506AE">
              <w:rPr>
                <w:noProof/>
              </w:rPr>
              <w:instrText xml:space="preserve"> PAGEREF _Toc232759473 \h </w:instrText>
            </w:r>
            <w:r w:rsidR="003506AE">
              <w:rPr>
                <w:noProof/>
              </w:rPr>
            </w:r>
            <w:r w:rsidR="003506AE">
              <w:rPr>
                <w:noProof/>
              </w:rPr>
              <w:fldChar w:fldCharType="separate"/>
            </w:r>
            <w:r w:rsidR="00352778">
              <w:rPr>
                <w:noProof/>
              </w:rPr>
              <w:t>17</w:t>
            </w:r>
            <w:r w:rsidR="003506AE">
              <w:rPr>
                <w:noProof/>
              </w:rPr>
              <w:fldChar w:fldCharType="end"/>
            </w:r>
          </w:hyperlink>
        </w:p>
        <w:p w14:paraId="77CCAC49" w14:textId="555160DD" w:rsidR="003506AE" w:rsidRDefault="00EF3D2B">
          <w:pPr>
            <w:pStyle w:val="TM3"/>
            <w:tabs>
              <w:tab w:val="right" w:leader="dot" w:pos="9296"/>
            </w:tabs>
            <w:rPr>
              <w:rFonts w:asciiTheme="minorHAnsi" w:eastAsiaTheme="minorEastAsia" w:hAnsiTheme="minorHAnsi" w:cstheme="minorBidi"/>
              <w:noProof/>
            </w:rPr>
          </w:pPr>
          <w:hyperlink w:anchor="_Toc232759474" w:history="1">
            <w:r w:rsidR="003506AE" w:rsidRPr="005435C5">
              <w:rPr>
                <w:rStyle w:val="Lienhypertexte"/>
                <w:rFonts w:cstheme="minorHAnsi"/>
                <w:noProof/>
              </w:rPr>
              <w:t>5.8 Instruments supportés et richesse de connexion</w:t>
            </w:r>
            <w:r w:rsidR="003506AE">
              <w:rPr>
                <w:noProof/>
              </w:rPr>
              <w:tab/>
            </w:r>
            <w:r w:rsidR="003506AE">
              <w:rPr>
                <w:noProof/>
              </w:rPr>
              <w:fldChar w:fldCharType="begin"/>
            </w:r>
            <w:r w:rsidR="003506AE">
              <w:rPr>
                <w:noProof/>
              </w:rPr>
              <w:instrText xml:space="preserve"> PAGEREF _Toc232759474 \h </w:instrText>
            </w:r>
            <w:r w:rsidR="003506AE">
              <w:rPr>
                <w:noProof/>
              </w:rPr>
            </w:r>
            <w:r w:rsidR="003506AE">
              <w:rPr>
                <w:noProof/>
              </w:rPr>
              <w:fldChar w:fldCharType="separate"/>
            </w:r>
            <w:r w:rsidR="00352778">
              <w:rPr>
                <w:noProof/>
              </w:rPr>
              <w:t>17</w:t>
            </w:r>
            <w:r w:rsidR="003506AE">
              <w:rPr>
                <w:noProof/>
              </w:rPr>
              <w:fldChar w:fldCharType="end"/>
            </w:r>
          </w:hyperlink>
        </w:p>
        <w:p w14:paraId="01FA6947" w14:textId="7D5660EF" w:rsidR="003506AE" w:rsidRDefault="00EF3D2B">
          <w:pPr>
            <w:pStyle w:val="TM1"/>
            <w:tabs>
              <w:tab w:val="right" w:leader="dot" w:pos="9296"/>
            </w:tabs>
            <w:rPr>
              <w:rFonts w:asciiTheme="minorHAnsi" w:eastAsiaTheme="minorEastAsia" w:hAnsiTheme="minorHAnsi" w:cstheme="minorBidi"/>
              <w:noProof/>
            </w:rPr>
          </w:pPr>
          <w:hyperlink w:anchor="_Toc232759475" w:history="1">
            <w:r w:rsidR="003506AE" w:rsidRPr="005435C5">
              <w:rPr>
                <w:rStyle w:val="Lienhypertexte"/>
                <w:rFonts w:cstheme="minorHAnsi"/>
                <w:noProof/>
              </w:rPr>
              <w:t>5. Informatique</w:t>
            </w:r>
            <w:r w:rsidR="003506AE">
              <w:rPr>
                <w:noProof/>
              </w:rPr>
              <w:tab/>
            </w:r>
            <w:r w:rsidR="003506AE">
              <w:rPr>
                <w:noProof/>
              </w:rPr>
              <w:fldChar w:fldCharType="begin"/>
            </w:r>
            <w:r w:rsidR="003506AE">
              <w:rPr>
                <w:noProof/>
              </w:rPr>
              <w:instrText xml:space="preserve"> PAGEREF _Toc232759475 \h </w:instrText>
            </w:r>
            <w:r w:rsidR="003506AE">
              <w:rPr>
                <w:noProof/>
              </w:rPr>
            </w:r>
            <w:r w:rsidR="003506AE">
              <w:rPr>
                <w:noProof/>
              </w:rPr>
              <w:fldChar w:fldCharType="separate"/>
            </w:r>
            <w:r w:rsidR="00352778">
              <w:rPr>
                <w:noProof/>
              </w:rPr>
              <w:t>18</w:t>
            </w:r>
            <w:r w:rsidR="003506AE">
              <w:rPr>
                <w:noProof/>
              </w:rPr>
              <w:fldChar w:fldCharType="end"/>
            </w:r>
          </w:hyperlink>
        </w:p>
        <w:p w14:paraId="7EA58CE6" w14:textId="0687420E" w:rsidR="003506AE" w:rsidRDefault="00EF3D2B">
          <w:pPr>
            <w:pStyle w:val="TM3"/>
            <w:tabs>
              <w:tab w:val="right" w:leader="dot" w:pos="9296"/>
            </w:tabs>
            <w:rPr>
              <w:rFonts w:asciiTheme="minorHAnsi" w:eastAsiaTheme="minorEastAsia" w:hAnsiTheme="minorHAnsi" w:cstheme="minorBidi"/>
              <w:noProof/>
            </w:rPr>
          </w:pPr>
          <w:hyperlink w:anchor="_Toc232759476" w:history="1">
            <w:r w:rsidR="003506AE" w:rsidRPr="005435C5">
              <w:rPr>
                <w:rStyle w:val="Lienhypertexte"/>
                <w:noProof/>
              </w:rPr>
              <w:t>5.1. Sécurité informatique</w:t>
            </w:r>
            <w:r w:rsidR="003506AE">
              <w:rPr>
                <w:noProof/>
              </w:rPr>
              <w:tab/>
            </w:r>
            <w:r w:rsidR="003506AE">
              <w:rPr>
                <w:noProof/>
              </w:rPr>
              <w:fldChar w:fldCharType="begin"/>
            </w:r>
            <w:r w:rsidR="003506AE">
              <w:rPr>
                <w:noProof/>
              </w:rPr>
              <w:instrText xml:space="preserve"> PAGEREF _Toc232759476 \h </w:instrText>
            </w:r>
            <w:r w:rsidR="003506AE">
              <w:rPr>
                <w:noProof/>
              </w:rPr>
            </w:r>
            <w:r w:rsidR="003506AE">
              <w:rPr>
                <w:noProof/>
              </w:rPr>
              <w:fldChar w:fldCharType="separate"/>
            </w:r>
            <w:r w:rsidR="00352778">
              <w:rPr>
                <w:noProof/>
              </w:rPr>
              <w:t>19</w:t>
            </w:r>
            <w:r w:rsidR="003506AE">
              <w:rPr>
                <w:noProof/>
              </w:rPr>
              <w:fldChar w:fldCharType="end"/>
            </w:r>
          </w:hyperlink>
        </w:p>
        <w:p w14:paraId="301B5808" w14:textId="5C2A4ECF" w:rsidR="003506AE" w:rsidRDefault="00EF3D2B">
          <w:pPr>
            <w:pStyle w:val="TM3"/>
            <w:tabs>
              <w:tab w:val="right" w:leader="dot" w:pos="9296"/>
            </w:tabs>
            <w:rPr>
              <w:rFonts w:asciiTheme="minorHAnsi" w:eastAsiaTheme="minorEastAsia" w:hAnsiTheme="minorHAnsi" w:cstheme="minorBidi"/>
              <w:noProof/>
            </w:rPr>
          </w:pPr>
          <w:hyperlink w:anchor="_Toc232759477" w:history="1">
            <w:r w:rsidR="003506AE" w:rsidRPr="005435C5">
              <w:rPr>
                <w:rStyle w:val="Lienhypertexte"/>
                <w:noProof/>
              </w:rPr>
              <w:t>5.2. Équipements informatiques</w:t>
            </w:r>
            <w:r w:rsidR="003506AE">
              <w:rPr>
                <w:noProof/>
              </w:rPr>
              <w:tab/>
            </w:r>
            <w:r w:rsidR="003506AE">
              <w:rPr>
                <w:noProof/>
              </w:rPr>
              <w:fldChar w:fldCharType="begin"/>
            </w:r>
            <w:r w:rsidR="003506AE">
              <w:rPr>
                <w:noProof/>
              </w:rPr>
              <w:instrText xml:space="preserve"> PAGEREF _Toc232759477 \h </w:instrText>
            </w:r>
            <w:r w:rsidR="003506AE">
              <w:rPr>
                <w:noProof/>
              </w:rPr>
            </w:r>
            <w:r w:rsidR="003506AE">
              <w:rPr>
                <w:noProof/>
              </w:rPr>
              <w:fldChar w:fldCharType="separate"/>
            </w:r>
            <w:r w:rsidR="00352778">
              <w:rPr>
                <w:noProof/>
              </w:rPr>
              <w:t>19</w:t>
            </w:r>
            <w:r w:rsidR="003506AE">
              <w:rPr>
                <w:noProof/>
              </w:rPr>
              <w:fldChar w:fldCharType="end"/>
            </w:r>
          </w:hyperlink>
        </w:p>
        <w:p w14:paraId="240CFADB" w14:textId="4BDF2486" w:rsidR="003506AE" w:rsidRDefault="00EF3D2B">
          <w:pPr>
            <w:pStyle w:val="TM3"/>
            <w:tabs>
              <w:tab w:val="right" w:leader="dot" w:pos="9296"/>
            </w:tabs>
            <w:rPr>
              <w:rFonts w:asciiTheme="minorHAnsi" w:eastAsiaTheme="minorEastAsia" w:hAnsiTheme="minorHAnsi" w:cstheme="minorBidi"/>
              <w:noProof/>
            </w:rPr>
          </w:pPr>
          <w:hyperlink w:anchor="_Toc232759478" w:history="1">
            <w:r w:rsidR="003506AE" w:rsidRPr="005435C5">
              <w:rPr>
                <w:rStyle w:val="Lienhypertexte"/>
                <w:noProof/>
              </w:rPr>
              <w:t>5.3. Serveurs virtuels</w:t>
            </w:r>
            <w:r w:rsidR="003506AE">
              <w:rPr>
                <w:noProof/>
              </w:rPr>
              <w:tab/>
            </w:r>
            <w:r w:rsidR="003506AE">
              <w:rPr>
                <w:noProof/>
              </w:rPr>
              <w:fldChar w:fldCharType="begin"/>
            </w:r>
            <w:r w:rsidR="003506AE">
              <w:rPr>
                <w:noProof/>
              </w:rPr>
              <w:instrText xml:space="preserve"> PAGEREF _Toc232759478 \h </w:instrText>
            </w:r>
            <w:r w:rsidR="003506AE">
              <w:rPr>
                <w:noProof/>
              </w:rPr>
            </w:r>
            <w:r w:rsidR="003506AE">
              <w:rPr>
                <w:noProof/>
              </w:rPr>
              <w:fldChar w:fldCharType="separate"/>
            </w:r>
            <w:r w:rsidR="00352778">
              <w:rPr>
                <w:noProof/>
              </w:rPr>
              <w:t>19</w:t>
            </w:r>
            <w:r w:rsidR="003506AE">
              <w:rPr>
                <w:noProof/>
              </w:rPr>
              <w:fldChar w:fldCharType="end"/>
            </w:r>
          </w:hyperlink>
        </w:p>
        <w:p w14:paraId="21007622" w14:textId="04F8FC94" w:rsidR="003506AE" w:rsidRDefault="00EF3D2B">
          <w:pPr>
            <w:pStyle w:val="TM3"/>
            <w:tabs>
              <w:tab w:val="right" w:leader="dot" w:pos="9296"/>
            </w:tabs>
            <w:rPr>
              <w:rFonts w:asciiTheme="minorHAnsi" w:eastAsiaTheme="minorEastAsia" w:hAnsiTheme="minorHAnsi" w:cstheme="minorBidi"/>
              <w:noProof/>
            </w:rPr>
          </w:pPr>
          <w:hyperlink w:anchor="_Toc232759479" w:history="1">
            <w:r w:rsidR="003506AE" w:rsidRPr="005435C5">
              <w:rPr>
                <w:rStyle w:val="Lienhypertexte"/>
                <w:noProof/>
              </w:rPr>
              <w:t>5.4. Sauvegarde des données</w:t>
            </w:r>
            <w:r w:rsidR="003506AE">
              <w:rPr>
                <w:noProof/>
              </w:rPr>
              <w:tab/>
            </w:r>
            <w:r w:rsidR="003506AE">
              <w:rPr>
                <w:noProof/>
              </w:rPr>
              <w:fldChar w:fldCharType="begin"/>
            </w:r>
            <w:r w:rsidR="003506AE">
              <w:rPr>
                <w:noProof/>
              </w:rPr>
              <w:instrText xml:space="preserve"> PAGEREF _Toc232759479 \h </w:instrText>
            </w:r>
            <w:r w:rsidR="003506AE">
              <w:rPr>
                <w:noProof/>
              </w:rPr>
            </w:r>
            <w:r w:rsidR="003506AE">
              <w:rPr>
                <w:noProof/>
              </w:rPr>
              <w:fldChar w:fldCharType="separate"/>
            </w:r>
            <w:r w:rsidR="00352778">
              <w:rPr>
                <w:noProof/>
              </w:rPr>
              <w:t>19</w:t>
            </w:r>
            <w:r w:rsidR="003506AE">
              <w:rPr>
                <w:noProof/>
              </w:rPr>
              <w:fldChar w:fldCharType="end"/>
            </w:r>
          </w:hyperlink>
        </w:p>
        <w:p w14:paraId="29C0B046" w14:textId="627AEC24" w:rsidR="003506AE" w:rsidRDefault="00EF3D2B">
          <w:pPr>
            <w:pStyle w:val="TM3"/>
            <w:tabs>
              <w:tab w:val="right" w:leader="dot" w:pos="9296"/>
            </w:tabs>
            <w:rPr>
              <w:rFonts w:asciiTheme="minorHAnsi" w:eastAsiaTheme="minorEastAsia" w:hAnsiTheme="minorHAnsi" w:cstheme="minorBidi"/>
              <w:noProof/>
            </w:rPr>
          </w:pPr>
          <w:hyperlink w:anchor="_Toc232759480" w:history="1">
            <w:r w:rsidR="003506AE" w:rsidRPr="005435C5">
              <w:rPr>
                <w:rStyle w:val="Lienhypertexte"/>
                <w:rFonts w:cstheme="minorHAnsi"/>
                <w:noProof/>
              </w:rPr>
              <w:t>5.5. Mode dégradé – scénario de cyberattaque</w:t>
            </w:r>
            <w:r w:rsidR="003506AE">
              <w:rPr>
                <w:noProof/>
              </w:rPr>
              <w:tab/>
            </w:r>
            <w:r w:rsidR="003506AE">
              <w:rPr>
                <w:noProof/>
              </w:rPr>
              <w:fldChar w:fldCharType="begin"/>
            </w:r>
            <w:r w:rsidR="003506AE">
              <w:rPr>
                <w:noProof/>
              </w:rPr>
              <w:instrText xml:space="preserve"> PAGEREF _Toc232759480 \h </w:instrText>
            </w:r>
            <w:r w:rsidR="003506AE">
              <w:rPr>
                <w:noProof/>
              </w:rPr>
            </w:r>
            <w:r w:rsidR="003506AE">
              <w:rPr>
                <w:noProof/>
              </w:rPr>
              <w:fldChar w:fldCharType="separate"/>
            </w:r>
            <w:r w:rsidR="00352778">
              <w:rPr>
                <w:noProof/>
              </w:rPr>
              <w:t>20</w:t>
            </w:r>
            <w:r w:rsidR="003506AE">
              <w:rPr>
                <w:noProof/>
              </w:rPr>
              <w:fldChar w:fldCharType="end"/>
            </w:r>
          </w:hyperlink>
        </w:p>
        <w:p w14:paraId="60373090" w14:textId="4F75BC01" w:rsidR="003506AE" w:rsidRDefault="00EF3D2B">
          <w:pPr>
            <w:pStyle w:val="TM3"/>
            <w:tabs>
              <w:tab w:val="right" w:leader="dot" w:pos="9296"/>
            </w:tabs>
            <w:rPr>
              <w:rFonts w:asciiTheme="minorHAnsi" w:eastAsiaTheme="minorEastAsia" w:hAnsiTheme="minorHAnsi" w:cstheme="minorBidi"/>
              <w:noProof/>
            </w:rPr>
          </w:pPr>
          <w:hyperlink w:anchor="_Toc232759481" w:history="1">
            <w:r w:rsidR="003506AE" w:rsidRPr="005435C5">
              <w:rPr>
                <w:rStyle w:val="Lienhypertexte"/>
                <w:rFonts w:cstheme="minorHAnsi"/>
                <w:noProof/>
              </w:rPr>
              <w:t>5.6. Connexions des éléments de la solution</w:t>
            </w:r>
            <w:r w:rsidR="003506AE">
              <w:rPr>
                <w:noProof/>
              </w:rPr>
              <w:tab/>
            </w:r>
            <w:r w:rsidR="003506AE">
              <w:rPr>
                <w:noProof/>
              </w:rPr>
              <w:fldChar w:fldCharType="begin"/>
            </w:r>
            <w:r w:rsidR="003506AE">
              <w:rPr>
                <w:noProof/>
              </w:rPr>
              <w:instrText xml:space="preserve"> PAGEREF _Toc232759481 \h </w:instrText>
            </w:r>
            <w:r w:rsidR="003506AE">
              <w:rPr>
                <w:noProof/>
              </w:rPr>
            </w:r>
            <w:r w:rsidR="003506AE">
              <w:rPr>
                <w:noProof/>
              </w:rPr>
              <w:fldChar w:fldCharType="separate"/>
            </w:r>
            <w:r w:rsidR="00352778">
              <w:rPr>
                <w:noProof/>
              </w:rPr>
              <w:t>20</w:t>
            </w:r>
            <w:r w:rsidR="003506AE">
              <w:rPr>
                <w:noProof/>
              </w:rPr>
              <w:fldChar w:fldCharType="end"/>
            </w:r>
          </w:hyperlink>
        </w:p>
        <w:p w14:paraId="404EFAED" w14:textId="713AEADA" w:rsidR="003506AE" w:rsidRDefault="00EF3D2B">
          <w:pPr>
            <w:pStyle w:val="TM3"/>
            <w:tabs>
              <w:tab w:val="right" w:leader="dot" w:pos="9296"/>
            </w:tabs>
            <w:rPr>
              <w:rFonts w:asciiTheme="minorHAnsi" w:eastAsiaTheme="minorEastAsia" w:hAnsiTheme="minorHAnsi" w:cstheme="minorBidi"/>
              <w:noProof/>
            </w:rPr>
          </w:pPr>
          <w:hyperlink w:anchor="_Toc232759482" w:history="1">
            <w:r w:rsidR="003506AE" w:rsidRPr="005435C5">
              <w:rPr>
                <w:rStyle w:val="Lienhypertexte"/>
                <w:rFonts w:cstheme="minorHAnsi"/>
                <w:noProof/>
              </w:rPr>
              <w:t>5.7. Intégration à l’Active Directory Windows</w:t>
            </w:r>
            <w:r w:rsidR="003506AE">
              <w:rPr>
                <w:noProof/>
              </w:rPr>
              <w:tab/>
            </w:r>
            <w:r w:rsidR="003506AE">
              <w:rPr>
                <w:noProof/>
              </w:rPr>
              <w:fldChar w:fldCharType="begin"/>
            </w:r>
            <w:r w:rsidR="003506AE">
              <w:rPr>
                <w:noProof/>
              </w:rPr>
              <w:instrText xml:space="preserve"> PAGEREF _Toc232759482 \h </w:instrText>
            </w:r>
            <w:r w:rsidR="003506AE">
              <w:rPr>
                <w:noProof/>
              </w:rPr>
            </w:r>
            <w:r w:rsidR="003506AE">
              <w:rPr>
                <w:noProof/>
              </w:rPr>
              <w:fldChar w:fldCharType="separate"/>
            </w:r>
            <w:r w:rsidR="00352778">
              <w:rPr>
                <w:noProof/>
              </w:rPr>
              <w:t>21</w:t>
            </w:r>
            <w:r w:rsidR="003506AE">
              <w:rPr>
                <w:noProof/>
              </w:rPr>
              <w:fldChar w:fldCharType="end"/>
            </w:r>
          </w:hyperlink>
        </w:p>
        <w:p w14:paraId="30FD1E2E" w14:textId="3BCE8E2F" w:rsidR="003506AE" w:rsidRDefault="00EF3D2B">
          <w:pPr>
            <w:pStyle w:val="TM3"/>
            <w:tabs>
              <w:tab w:val="right" w:leader="dot" w:pos="9296"/>
            </w:tabs>
            <w:rPr>
              <w:rFonts w:asciiTheme="minorHAnsi" w:eastAsiaTheme="minorEastAsia" w:hAnsiTheme="minorHAnsi" w:cstheme="minorBidi"/>
              <w:noProof/>
            </w:rPr>
          </w:pPr>
          <w:hyperlink w:anchor="_Toc232759483" w:history="1">
            <w:r w:rsidR="003506AE" w:rsidRPr="005435C5">
              <w:rPr>
                <w:rStyle w:val="Lienhypertexte"/>
                <w:rFonts w:cstheme="minorHAnsi"/>
                <w:noProof/>
              </w:rPr>
              <w:t>5.8. Tickets</w:t>
            </w:r>
            <w:r w:rsidR="003506AE">
              <w:rPr>
                <w:noProof/>
              </w:rPr>
              <w:tab/>
            </w:r>
            <w:r w:rsidR="003506AE">
              <w:rPr>
                <w:noProof/>
              </w:rPr>
              <w:fldChar w:fldCharType="begin"/>
            </w:r>
            <w:r w:rsidR="003506AE">
              <w:rPr>
                <w:noProof/>
              </w:rPr>
              <w:instrText xml:space="preserve"> PAGEREF _Toc232759483 \h </w:instrText>
            </w:r>
            <w:r w:rsidR="003506AE">
              <w:rPr>
                <w:noProof/>
              </w:rPr>
            </w:r>
            <w:r w:rsidR="003506AE">
              <w:rPr>
                <w:noProof/>
              </w:rPr>
              <w:fldChar w:fldCharType="separate"/>
            </w:r>
            <w:r w:rsidR="00352778">
              <w:rPr>
                <w:noProof/>
              </w:rPr>
              <w:t>21</w:t>
            </w:r>
            <w:r w:rsidR="003506AE">
              <w:rPr>
                <w:noProof/>
              </w:rPr>
              <w:fldChar w:fldCharType="end"/>
            </w:r>
          </w:hyperlink>
        </w:p>
        <w:p w14:paraId="797B9A82" w14:textId="4BC3AEFD" w:rsidR="003506AE" w:rsidRDefault="00EF3D2B">
          <w:pPr>
            <w:pStyle w:val="TM3"/>
            <w:tabs>
              <w:tab w:val="right" w:leader="dot" w:pos="9296"/>
            </w:tabs>
            <w:rPr>
              <w:rFonts w:asciiTheme="minorHAnsi" w:eastAsiaTheme="minorEastAsia" w:hAnsiTheme="minorHAnsi" w:cstheme="minorBidi"/>
              <w:noProof/>
            </w:rPr>
          </w:pPr>
          <w:hyperlink w:anchor="_Toc232759484" w:history="1">
            <w:r w:rsidR="003506AE" w:rsidRPr="005435C5">
              <w:rPr>
                <w:rStyle w:val="Lienhypertexte"/>
                <w:rFonts w:cstheme="minorHAnsi"/>
                <w:noProof/>
              </w:rPr>
              <w:t>5.9. Redémarrages réguliers des composants</w:t>
            </w:r>
            <w:r w:rsidR="003506AE">
              <w:rPr>
                <w:noProof/>
              </w:rPr>
              <w:tab/>
            </w:r>
            <w:r w:rsidR="003506AE">
              <w:rPr>
                <w:noProof/>
              </w:rPr>
              <w:fldChar w:fldCharType="begin"/>
            </w:r>
            <w:r w:rsidR="003506AE">
              <w:rPr>
                <w:noProof/>
              </w:rPr>
              <w:instrText xml:space="preserve"> PAGEREF _Toc232759484 \h </w:instrText>
            </w:r>
            <w:r w:rsidR="003506AE">
              <w:rPr>
                <w:noProof/>
              </w:rPr>
            </w:r>
            <w:r w:rsidR="003506AE">
              <w:rPr>
                <w:noProof/>
              </w:rPr>
              <w:fldChar w:fldCharType="separate"/>
            </w:r>
            <w:r w:rsidR="00352778">
              <w:rPr>
                <w:noProof/>
              </w:rPr>
              <w:t>21</w:t>
            </w:r>
            <w:r w:rsidR="003506AE">
              <w:rPr>
                <w:noProof/>
              </w:rPr>
              <w:fldChar w:fldCharType="end"/>
            </w:r>
          </w:hyperlink>
        </w:p>
        <w:p w14:paraId="15E3583A" w14:textId="4D2CFAD5" w:rsidR="003506AE" w:rsidRDefault="00EF3D2B">
          <w:pPr>
            <w:pStyle w:val="TM3"/>
            <w:tabs>
              <w:tab w:val="right" w:leader="dot" w:pos="9296"/>
            </w:tabs>
            <w:rPr>
              <w:rFonts w:asciiTheme="minorHAnsi" w:eastAsiaTheme="minorEastAsia" w:hAnsiTheme="minorHAnsi" w:cstheme="minorBidi"/>
              <w:noProof/>
            </w:rPr>
          </w:pPr>
          <w:hyperlink w:anchor="_Toc232759485" w:history="1">
            <w:r w:rsidR="003506AE" w:rsidRPr="005435C5">
              <w:rPr>
                <w:rStyle w:val="Lienhypertexte"/>
                <w:rFonts w:cstheme="minorHAnsi"/>
                <w:noProof/>
              </w:rPr>
              <w:t>5.10. Obsolescence des composants logiciels</w:t>
            </w:r>
            <w:r w:rsidR="003506AE">
              <w:rPr>
                <w:noProof/>
              </w:rPr>
              <w:tab/>
            </w:r>
            <w:r w:rsidR="003506AE">
              <w:rPr>
                <w:noProof/>
              </w:rPr>
              <w:fldChar w:fldCharType="begin"/>
            </w:r>
            <w:r w:rsidR="003506AE">
              <w:rPr>
                <w:noProof/>
              </w:rPr>
              <w:instrText xml:space="preserve"> PAGEREF _Toc232759485 \h </w:instrText>
            </w:r>
            <w:r w:rsidR="003506AE">
              <w:rPr>
                <w:noProof/>
              </w:rPr>
            </w:r>
            <w:r w:rsidR="003506AE">
              <w:rPr>
                <w:noProof/>
              </w:rPr>
              <w:fldChar w:fldCharType="separate"/>
            </w:r>
            <w:r w:rsidR="00352778">
              <w:rPr>
                <w:noProof/>
              </w:rPr>
              <w:t>21</w:t>
            </w:r>
            <w:r w:rsidR="003506AE">
              <w:rPr>
                <w:noProof/>
              </w:rPr>
              <w:fldChar w:fldCharType="end"/>
            </w:r>
          </w:hyperlink>
        </w:p>
        <w:p w14:paraId="4DBC6B3B" w14:textId="74A6B7EC" w:rsidR="003506AE" w:rsidRDefault="00EF3D2B">
          <w:pPr>
            <w:pStyle w:val="TM3"/>
            <w:tabs>
              <w:tab w:val="right" w:leader="dot" w:pos="9296"/>
            </w:tabs>
            <w:rPr>
              <w:rFonts w:asciiTheme="minorHAnsi" w:eastAsiaTheme="minorEastAsia" w:hAnsiTheme="minorHAnsi" w:cstheme="minorBidi"/>
              <w:noProof/>
            </w:rPr>
          </w:pPr>
          <w:hyperlink w:anchor="_Toc232759486" w:history="1">
            <w:r w:rsidR="003506AE" w:rsidRPr="005435C5">
              <w:rPr>
                <w:rStyle w:val="Lienhypertexte"/>
                <w:rFonts w:cstheme="minorHAnsi"/>
                <w:noProof/>
              </w:rPr>
              <w:t>5.11. Reprise des données et réversibilité</w:t>
            </w:r>
            <w:r w:rsidR="003506AE">
              <w:rPr>
                <w:noProof/>
              </w:rPr>
              <w:tab/>
            </w:r>
            <w:r w:rsidR="003506AE">
              <w:rPr>
                <w:noProof/>
              </w:rPr>
              <w:fldChar w:fldCharType="begin"/>
            </w:r>
            <w:r w:rsidR="003506AE">
              <w:rPr>
                <w:noProof/>
              </w:rPr>
              <w:instrText xml:space="preserve"> PAGEREF _Toc232759486 \h </w:instrText>
            </w:r>
            <w:r w:rsidR="003506AE">
              <w:rPr>
                <w:noProof/>
              </w:rPr>
            </w:r>
            <w:r w:rsidR="003506AE">
              <w:rPr>
                <w:noProof/>
              </w:rPr>
              <w:fldChar w:fldCharType="separate"/>
            </w:r>
            <w:r w:rsidR="00352778">
              <w:rPr>
                <w:noProof/>
              </w:rPr>
              <w:t>21</w:t>
            </w:r>
            <w:r w:rsidR="003506AE">
              <w:rPr>
                <w:noProof/>
              </w:rPr>
              <w:fldChar w:fldCharType="end"/>
            </w:r>
          </w:hyperlink>
        </w:p>
        <w:p w14:paraId="506A9F2F" w14:textId="5F6BB71B" w:rsidR="003506AE" w:rsidRDefault="00EF3D2B">
          <w:pPr>
            <w:pStyle w:val="TM1"/>
            <w:tabs>
              <w:tab w:val="right" w:leader="dot" w:pos="9296"/>
            </w:tabs>
            <w:rPr>
              <w:rFonts w:asciiTheme="minorHAnsi" w:eastAsiaTheme="minorEastAsia" w:hAnsiTheme="minorHAnsi" w:cstheme="minorBidi"/>
              <w:noProof/>
            </w:rPr>
          </w:pPr>
          <w:hyperlink w:anchor="_Toc232759487" w:history="1">
            <w:r w:rsidR="003506AE" w:rsidRPr="005435C5">
              <w:rPr>
                <w:rStyle w:val="Lienhypertexte"/>
                <w:rFonts w:cstheme="minorHAnsi"/>
                <w:noProof/>
              </w:rPr>
              <w:t>6. Installation</w:t>
            </w:r>
            <w:r w:rsidR="003506AE">
              <w:rPr>
                <w:noProof/>
              </w:rPr>
              <w:tab/>
            </w:r>
            <w:r w:rsidR="003506AE">
              <w:rPr>
                <w:noProof/>
              </w:rPr>
              <w:fldChar w:fldCharType="begin"/>
            </w:r>
            <w:r w:rsidR="003506AE">
              <w:rPr>
                <w:noProof/>
              </w:rPr>
              <w:instrText xml:space="preserve"> PAGEREF _Toc232759487 \h </w:instrText>
            </w:r>
            <w:r w:rsidR="003506AE">
              <w:rPr>
                <w:noProof/>
              </w:rPr>
            </w:r>
            <w:r w:rsidR="003506AE">
              <w:rPr>
                <w:noProof/>
              </w:rPr>
              <w:fldChar w:fldCharType="separate"/>
            </w:r>
            <w:r w:rsidR="00352778">
              <w:rPr>
                <w:noProof/>
              </w:rPr>
              <w:t>21</w:t>
            </w:r>
            <w:r w:rsidR="003506AE">
              <w:rPr>
                <w:noProof/>
              </w:rPr>
              <w:fldChar w:fldCharType="end"/>
            </w:r>
          </w:hyperlink>
        </w:p>
        <w:p w14:paraId="2569A55E" w14:textId="6CFD3196" w:rsidR="003506AE" w:rsidRDefault="00EF3D2B">
          <w:pPr>
            <w:pStyle w:val="TM3"/>
            <w:tabs>
              <w:tab w:val="right" w:leader="dot" w:pos="9296"/>
            </w:tabs>
            <w:rPr>
              <w:rFonts w:asciiTheme="minorHAnsi" w:eastAsiaTheme="minorEastAsia" w:hAnsiTheme="minorHAnsi" w:cstheme="minorBidi"/>
              <w:noProof/>
            </w:rPr>
          </w:pPr>
          <w:hyperlink w:anchor="_Toc232759488" w:history="1">
            <w:r w:rsidR="003506AE" w:rsidRPr="005435C5">
              <w:rPr>
                <w:rStyle w:val="Lienhypertexte"/>
                <w:rFonts w:cstheme="minorHAnsi"/>
                <w:noProof/>
              </w:rPr>
              <w:t>6.2. Détail de la proposition d’installation</w:t>
            </w:r>
            <w:r w:rsidR="003506AE">
              <w:rPr>
                <w:noProof/>
              </w:rPr>
              <w:tab/>
            </w:r>
            <w:r w:rsidR="003506AE">
              <w:rPr>
                <w:noProof/>
              </w:rPr>
              <w:fldChar w:fldCharType="begin"/>
            </w:r>
            <w:r w:rsidR="003506AE">
              <w:rPr>
                <w:noProof/>
              </w:rPr>
              <w:instrText xml:space="preserve"> PAGEREF _Toc232759488 \h </w:instrText>
            </w:r>
            <w:r w:rsidR="003506AE">
              <w:rPr>
                <w:noProof/>
              </w:rPr>
            </w:r>
            <w:r w:rsidR="003506AE">
              <w:rPr>
                <w:noProof/>
              </w:rPr>
              <w:fldChar w:fldCharType="separate"/>
            </w:r>
            <w:r w:rsidR="00352778">
              <w:rPr>
                <w:noProof/>
              </w:rPr>
              <w:t>22</w:t>
            </w:r>
            <w:r w:rsidR="003506AE">
              <w:rPr>
                <w:noProof/>
              </w:rPr>
              <w:fldChar w:fldCharType="end"/>
            </w:r>
          </w:hyperlink>
        </w:p>
        <w:p w14:paraId="60F9D213" w14:textId="4833BF73" w:rsidR="003506AE" w:rsidRDefault="00EF3D2B">
          <w:pPr>
            <w:pStyle w:val="TM2"/>
            <w:tabs>
              <w:tab w:val="right" w:leader="dot" w:pos="9296"/>
            </w:tabs>
            <w:rPr>
              <w:rFonts w:asciiTheme="minorHAnsi" w:eastAsiaTheme="minorEastAsia" w:hAnsiTheme="minorHAnsi" w:cstheme="minorBidi"/>
              <w:noProof/>
            </w:rPr>
          </w:pPr>
          <w:hyperlink w:anchor="_Toc232759489" w:history="1">
            <w:r w:rsidR="003506AE" w:rsidRPr="005435C5">
              <w:rPr>
                <w:rStyle w:val="Lienhypertexte"/>
                <w:rFonts w:cstheme="minorHAnsi"/>
                <w:noProof/>
              </w:rPr>
              <w:t>6.3. Planning prévisionnel et coordination avec le sortant</w:t>
            </w:r>
            <w:r w:rsidR="003506AE">
              <w:rPr>
                <w:noProof/>
              </w:rPr>
              <w:tab/>
            </w:r>
            <w:r w:rsidR="003506AE">
              <w:rPr>
                <w:noProof/>
              </w:rPr>
              <w:fldChar w:fldCharType="begin"/>
            </w:r>
            <w:r w:rsidR="003506AE">
              <w:rPr>
                <w:noProof/>
              </w:rPr>
              <w:instrText xml:space="preserve"> PAGEREF _Toc232759489 \h </w:instrText>
            </w:r>
            <w:r w:rsidR="003506AE">
              <w:rPr>
                <w:noProof/>
              </w:rPr>
            </w:r>
            <w:r w:rsidR="003506AE">
              <w:rPr>
                <w:noProof/>
              </w:rPr>
              <w:fldChar w:fldCharType="separate"/>
            </w:r>
            <w:r w:rsidR="00352778">
              <w:rPr>
                <w:noProof/>
              </w:rPr>
              <w:t>22</w:t>
            </w:r>
            <w:r w:rsidR="003506AE">
              <w:rPr>
                <w:noProof/>
              </w:rPr>
              <w:fldChar w:fldCharType="end"/>
            </w:r>
          </w:hyperlink>
        </w:p>
        <w:p w14:paraId="6AFD1551" w14:textId="53E21F67" w:rsidR="003506AE" w:rsidRDefault="00EF3D2B">
          <w:pPr>
            <w:pStyle w:val="TM1"/>
            <w:tabs>
              <w:tab w:val="right" w:leader="dot" w:pos="9296"/>
            </w:tabs>
            <w:rPr>
              <w:rFonts w:asciiTheme="minorHAnsi" w:eastAsiaTheme="minorEastAsia" w:hAnsiTheme="minorHAnsi" w:cstheme="minorBidi"/>
              <w:noProof/>
            </w:rPr>
          </w:pPr>
          <w:hyperlink w:anchor="_Toc232759490" w:history="1">
            <w:r w:rsidR="003506AE" w:rsidRPr="005435C5">
              <w:rPr>
                <w:rStyle w:val="Lienhypertexte"/>
                <w:rFonts w:cstheme="minorHAnsi"/>
                <w:noProof/>
              </w:rPr>
              <w:t>7. Annexes et questionnaires</w:t>
            </w:r>
            <w:r w:rsidR="003506AE">
              <w:rPr>
                <w:noProof/>
              </w:rPr>
              <w:tab/>
            </w:r>
            <w:r w:rsidR="003506AE">
              <w:rPr>
                <w:noProof/>
              </w:rPr>
              <w:fldChar w:fldCharType="begin"/>
            </w:r>
            <w:r w:rsidR="003506AE">
              <w:rPr>
                <w:noProof/>
              </w:rPr>
              <w:instrText xml:space="preserve"> PAGEREF _Toc232759490 \h </w:instrText>
            </w:r>
            <w:r w:rsidR="003506AE">
              <w:rPr>
                <w:noProof/>
              </w:rPr>
            </w:r>
            <w:r w:rsidR="003506AE">
              <w:rPr>
                <w:noProof/>
              </w:rPr>
              <w:fldChar w:fldCharType="separate"/>
            </w:r>
            <w:r w:rsidR="00352778">
              <w:rPr>
                <w:noProof/>
              </w:rPr>
              <w:t>22</w:t>
            </w:r>
            <w:r w:rsidR="003506AE">
              <w:rPr>
                <w:noProof/>
              </w:rPr>
              <w:fldChar w:fldCharType="end"/>
            </w:r>
          </w:hyperlink>
        </w:p>
        <w:p w14:paraId="17071FF6" w14:textId="0A27AC48" w:rsidR="0086323F" w:rsidRPr="00206109" w:rsidRDefault="00964243">
          <w:pPr>
            <w:rPr>
              <w:rFonts w:asciiTheme="minorHAnsi" w:hAnsiTheme="minorHAnsi" w:cstheme="minorHAnsi"/>
            </w:rPr>
          </w:pPr>
          <w:r w:rsidRPr="00206109">
            <w:rPr>
              <w:rFonts w:asciiTheme="minorHAnsi" w:hAnsiTheme="minorHAnsi" w:cstheme="minorHAnsi"/>
            </w:rPr>
            <w:fldChar w:fldCharType="end"/>
          </w:r>
        </w:p>
      </w:sdtContent>
    </w:sdt>
    <w:p w14:paraId="0761E90D" w14:textId="77777777" w:rsidR="0086323F" w:rsidRPr="00206109" w:rsidRDefault="00964243">
      <w:pPr>
        <w:rPr>
          <w:rFonts w:asciiTheme="minorHAnsi" w:hAnsiTheme="minorHAnsi" w:cstheme="minorHAnsi"/>
        </w:rPr>
      </w:pPr>
      <w:r w:rsidRPr="00206109">
        <w:rPr>
          <w:rFonts w:asciiTheme="minorHAnsi" w:hAnsiTheme="minorHAnsi" w:cstheme="minorHAnsi"/>
        </w:rPr>
        <w:br w:type="page"/>
      </w:r>
    </w:p>
    <w:p w14:paraId="5236528A" w14:textId="77777777" w:rsidR="0086323F" w:rsidRPr="00206109" w:rsidRDefault="00964243">
      <w:pPr>
        <w:pStyle w:val="Titre1"/>
        <w:rPr>
          <w:rFonts w:asciiTheme="minorHAnsi" w:hAnsiTheme="minorHAnsi" w:cstheme="minorHAnsi"/>
        </w:rPr>
      </w:pPr>
      <w:bookmarkStart w:id="0" w:name="_Toc232759443"/>
      <w:r w:rsidRPr="00206109">
        <w:rPr>
          <w:rFonts w:asciiTheme="minorHAnsi" w:hAnsiTheme="minorHAnsi" w:cstheme="minorHAnsi"/>
        </w:rPr>
        <w:lastRenderedPageBreak/>
        <w:t>1. Présentation du projet</w:t>
      </w:r>
      <w:bookmarkEnd w:id="0"/>
    </w:p>
    <w:p w14:paraId="09096887"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1" w:name="_Toc232759444"/>
      <w:r w:rsidRPr="003C4BBB">
        <w:rPr>
          <w:rFonts w:asciiTheme="minorHAnsi" w:hAnsiTheme="minorHAnsi" w:cstheme="minorHAnsi"/>
          <w:color w:val="767171" w:themeColor="background2" w:themeShade="80"/>
          <w:sz w:val="22"/>
          <w:szCs w:val="22"/>
        </w:rPr>
        <w:t>1.1. Généralités</w:t>
      </w:r>
      <w:bookmarkEnd w:id="1"/>
    </w:p>
    <w:p w14:paraId="48FBC834"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présent Cahier des Clauses Techniques Particulières (CCTP) correspond au projet de renouvellement du marché de fournitures de réactifs et consommables nécessaires à la réalisation des analyses de gazométrie au sein du Laboratoire de Biologie Médicale (LBM) du CHU de Toulouse, sur ses sites de Purpan, Rangueil, Larrey et Lavaur, et au sein des services de soins recourant à l’Examen de Biologie Médicale Délocalisée (EBMD).</w:t>
      </w:r>
    </w:p>
    <w:p w14:paraId="7E3C3F77" w14:textId="37134583"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 xml:space="preserve">Le marché actuel n° 18-0354, attribué à la société Siemens Healthcare SAS pour un parc de 20 analyseurs </w:t>
      </w:r>
      <w:proofErr w:type="spellStart"/>
      <w:r w:rsidRPr="00206109">
        <w:rPr>
          <w:rFonts w:asciiTheme="minorHAnsi" w:hAnsiTheme="minorHAnsi" w:cstheme="minorHAnsi"/>
        </w:rPr>
        <w:t>RAPIDPoint</w:t>
      </w:r>
      <w:proofErr w:type="spellEnd"/>
      <w:r w:rsidR="00DE1EC3" w:rsidRPr="00206109">
        <w:rPr>
          <w:rFonts w:asciiTheme="minorHAnsi" w:hAnsiTheme="minorHAnsi" w:cstheme="minorHAnsi"/>
        </w:rPr>
        <w:t xml:space="preserve"> </w:t>
      </w:r>
      <w:r w:rsidRPr="00206109">
        <w:rPr>
          <w:rFonts w:asciiTheme="minorHAnsi" w:hAnsiTheme="minorHAnsi" w:cstheme="minorHAnsi"/>
        </w:rPr>
        <w:t xml:space="preserve"> 500 et un middleware </w:t>
      </w:r>
      <w:proofErr w:type="spellStart"/>
      <w:r w:rsidRPr="00206109">
        <w:rPr>
          <w:rFonts w:asciiTheme="minorHAnsi" w:hAnsiTheme="minorHAnsi" w:cstheme="minorHAnsi"/>
        </w:rPr>
        <w:t>POCcelerator</w:t>
      </w:r>
      <w:proofErr w:type="spellEnd"/>
      <w:r w:rsidRPr="00206109">
        <w:rPr>
          <w:rFonts w:asciiTheme="minorHAnsi" w:hAnsiTheme="minorHAnsi" w:cstheme="minorHAnsi"/>
        </w:rPr>
        <w:t xml:space="preserve">, arrive à échéance </w:t>
      </w:r>
      <w:r w:rsidR="009D6930" w:rsidRPr="00206109">
        <w:rPr>
          <w:rFonts w:asciiTheme="minorHAnsi" w:hAnsiTheme="minorHAnsi" w:cstheme="minorHAnsi"/>
        </w:rPr>
        <w:t xml:space="preserve">au </w:t>
      </w:r>
      <w:r w:rsidR="00F83DF4" w:rsidRPr="00206109">
        <w:rPr>
          <w:rFonts w:asciiTheme="minorHAnsi" w:hAnsiTheme="minorHAnsi" w:cstheme="minorHAnsi"/>
        </w:rPr>
        <w:t>1</w:t>
      </w:r>
      <w:r w:rsidR="00F83DF4" w:rsidRPr="00206109">
        <w:rPr>
          <w:rFonts w:asciiTheme="minorHAnsi" w:hAnsiTheme="minorHAnsi" w:cstheme="minorHAnsi"/>
          <w:vertAlign w:val="superscript"/>
        </w:rPr>
        <w:t>er</w:t>
      </w:r>
      <w:r w:rsidR="00F83DF4" w:rsidRPr="00206109">
        <w:rPr>
          <w:rFonts w:asciiTheme="minorHAnsi" w:hAnsiTheme="minorHAnsi" w:cstheme="minorHAnsi"/>
        </w:rPr>
        <w:t xml:space="preserve"> </w:t>
      </w:r>
      <w:r w:rsidR="009D6930" w:rsidRPr="00206109">
        <w:rPr>
          <w:rFonts w:asciiTheme="minorHAnsi" w:hAnsiTheme="minorHAnsi" w:cstheme="minorHAnsi"/>
        </w:rPr>
        <w:t xml:space="preserve">semestre 2027. </w:t>
      </w:r>
      <w:r w:rsidRPr="00206109">
        <w:rPr>
          <w:rFonts w:asciiTheme="minorHAnsi" w:hAnsiTheme="minorHAnsi" w:cstheme="minorHAnsi"/>
        </w:rPr>
        <w:t xml:space="preserve">La présente consultation vise à renouveler l’intégralité du parc en y intégrant la fourniture d’un nouveau middleware destiné à prendre le relais du </w:t>
      </w:r>
      <w:proofErr w:type="spellStart"/>
      <w:r w:rsidRPr="00206109">
        <w:rPr>
          <w:rFonts w:asciiTheme="minorHAnsi" w:hAnsiTheme="minorHAnsi" w:cstheme="minorHAnsi"/>
        </w:rPr>
        <w:t>POCcelerator</w:t>
      </w:r>
      <w:proofErr w:type="spellEnd"/>
      <w:r w:rsidRPr="00206109">
        <w:rPr>
          <w:rFonts w:asciiTheme="minorHAnsi" w:hAnsiTheme="minorHAnsi" w:cstheme="minorHAnsi"/>
        </w:rPr>
        <w:t xml:space="preserve">, et à reprendre la connexion </w:t>
      </w:r>
      <w:r w:rsidR="0054444D" w:rsidRPr="00206109">
        <w:rPr>
          <w:rFonts w:asciiTheme="minorHAnsi" w:hAnsiTheme="minorHAnsi" w:cstheme="minorHAnsi"/>
        </w:rPr>
        <w:t>de l’ensemble des analyseurs</w:t>
      </w:r>
      <w:r w:rsidRPr="00206109">
        <w:rPr>
          <w:rFonts w:asciiTheme="minorHAnsi" w:hAnsiTheme="minorHAnsi" w:cstheme="minorHAnsi"/>
        </w:rPr>
        <w:t xml:space="preserve"> de biologie délocalisée tiers actuellement raccordés à celui-ci.</w:t>
      </w:r>
    </w:p>
    <w:p w14:paraId="685BAA7E"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périmètre comporte des particularités légales et normatives liées à la dualité du parc :</w:t>
      </w:r>
    </w:p>
    <w:p w14:paraId="1FA8A421" w14:textId="254A528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gazomètres implantés dans les laboratoires des sites de Purpan (</w:t>
      </w:r>
      <w:r w:rsidR="009D6930" w:rsidRPr="00206109">
        <w:rPr>
          <w:rFonts w:asciiTheme="minorHAnsi" w:hAnsiTheme="minorHAnsi" w:cstheme="minorHAnsi"/>
        </w:rPr>
        <w:t xml:space="preserve">PTA - </w:t>
      </w:r>
      <w:r w:rsidRPr="00206109">
        <w:rPr>
          <w:rFonts w:asciiTheme="minorHAnsi" w:hAnsiTheme="minorHAnsi" w:cstheme="minorHAnsi"/>
        </w:rPr>
        <w:t>IFB), Rangueil (PTA</w:t>
      </w:r>
      <w:r w:rsidR="009D6930" w:rsidRPr="00206109">
        <w:rPr>
          <w:rFonts w:asciiTheme="minorHAnsi" w:hAnsiTheme="minorHAnsi" w:cstheme="minorHAnsi"/>
        </w:rPr>
        <w:t xml:space="preserve"> Routine</w:t>
      </w:r>
      <w:r w:rsidRPr="00206109">
        <w:rPr>
          <w:rFonts w:asciiTheme="minorHAnsi" w:hAnsiTheme="minorHAnsi" w:cstheme="minorHAnsi"/>
        </w:rPr>
        <w:t>) et Lavaur sont utilisés par du personnel de laboratoire ; ils sont soumis à l’accréditation ISO 15189</w:t>
      </w:r>
      <w:r w:rsidR="00B857D9">
        <w:rPr>
          <w:rFonts w:asciiTheme="minorHAnsi" w:hAnsiTheme="minorHAnsi" w:cstheme="minorHAnsi"/>
        </w:rPr>
        <w:t>:</w:t>
      </w:r>
      <w:r w:rsidR="00BB4A1C">
        <w:rPr>
          <w:rFonts w:asciiTheme="minorHAnsi" w:hAnsiTheme="minorHAnsi" w:cstheme="minorHAnsi"/>
        </w:rPr>
        <w:t>2022</w:t>
      </w:r>
      <w:r w:rsidRPr="00206109">
        <w:rPr>
          <w:rFonts w:asciiTheme="minorHAnsi" w:hAnsiTheme="minorHAnsi" w:cstheme="minorHAnsi"/>
        </w:rPr>
        <w:t xml:space="preserve"> ;</w:t>
      </w:r>
    </w:p>
    <w:p w14:paraId="23AD3F3C" w14:textId="23D945B3"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gazomètres localisés dans les services de soins sont utilisés par du personnel soignant ; ils sont soumis à la par l’ISO 15189:2022, </w:t>
      </w:r>
      <w:r w:rsidR="00AF0D7C" w:rsidRPr="00206109">
        <w:rPr>
          <w:rFonts w:asciiTheme="minorHAnsi" w:hAnsiTheme="minorHAnsi" w:cstheme="minorHAnsi"/>
        </w:rPr>
        <w:t>annexe</w:t>
      </w:r>
      <w:r w:rsidRPr="00206109">
        <w:rPr>
          <w:rFonts w:asciiTheme="minorHAnsi" w:hAnsiTheme="minorHAnsi" w:cstheme="minorHAnsi"/>
        </w:rPr>
        <w:t xml:space="preserve"> EBMD</w:t>
      </w:r>
      <w:r w:rsidR="00AF0D7C" w:rsidRPr="00206109">
        <w:rPr>
          <w:rFonts w:asciiTheme="minorHAnsi" w:hAnsiTheme="minorHAnsi" w:cstheme="minorHAnsi"/>
        </w:rPr>
        <w:t>.</w:t>
      </w:r>
    </w:p>
    <w:p w14:paraId="485FB1F2" w14:textId="3B440061"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 xml:space="preserve">Tous les analyseurs sont intégrés au Laboratoire de Biologie Médicale du CHU et l’ensemble des résultats est centralisé via un middleware unique, lui-même interfacé au Système d’Information du Laboratoire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(CGM) du CHU de Toulouse</w:t>
      </w:r>
    </w:p>
    <w:p w14:paraId="1A3A5FE4"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b/>
          <w:bCs/>
        </w:rPr>
        <w:t xml:space="preserve">Lieux de livraison et d’installation : </w:t>
      </w:r>
      <w:r w:rsidRPr="00206109">
        <w:rPr>
          <w:rFonts w:asciiTheme="minorHAnsi" w:hAnsiTheme="minorHAnsi" w:cstheme="minorHAnsi"/>
        </w:rPr>
        <w:t>Centre Hospitalier Universitaire de Toulouse – Sites de Purpan, Rangueil, Larrey et Lavaur. À titre indicatif, les sites pourront être amenés à évoluer notamment avec l’évolution des besoins du Groupement Hospitalier de Territoire (GHT).</w:t>
      </w:r>
    </w:p>
    <w:p w14:paraId="4C7D7289" w14:textId="0349BAFF" w:rsidR="0086323F" w:rsidRPr="00206109" w:rsidRDefault="00964243">
      <w:pPr>
        <w:spacing w:after="120"/>
        <w:jc w:val="both"/>
        <w:rPr>
          <w:rFonts w:asciiTheme="minorHAnsi" w:hAnsiTheme="minorHAnsi" w:cstheme="minorHAnsi"/>
        </w:rPr>
      </w:pPr>
      <w:r w:rsidRPr="00206109">
        <w:rPr>
          <w:rFonts w:asciiTheme="minorHAnsi" w:hAnsiTheme="minorHAnsi" w:cstheme="minorHAnsi"/>
          <w:b/>
          <w:bCs/>
        </w:rPr>
        <w:t xml:space="preserve">Date prévisionnelle de mise en production : </w:t>
      </w:r>
      <w:r w:rsidR="00AF0D7C" w:rsidRPr="00206109">
        <w:rPr>
          <w:rFonts w:asciiTheme="minorHAnsi" w:hAnsiTheme="minorHAnsi" w:cstheme="minorHAnsi"/>
        </w:rPr>
        <w:t>1</w:t>
      </w:r>
      <w:r w:rsidR="00AF0D7C" w:rsidRPr="00206109">
        <w:rPr>
          <w:rFonts w:asciiTheme="minorHAnsi" w:hAnsiTheme="minorHAnsi" w:cstheme="minorHAnsi"/>
          <w:vertAlign w:val="superscript"/>
        </w:rPr>
        <w:t>er</w:t>
      </w:r>
      <w:r w:rsidR="00AF0D7C" w:rsidRPr="00206109">
        <w:rPr>
          <w:rFonts w:asciiTheme="minorHAnsi" w:hAnsiTheme="minorHAnsi" w:cstheme="minorHAnsi"/>
        </w:rPr>
        <w:t xml:space="preserve"> semestre 2027</w:t>
      </w:r>
    </w:p>
    <w:p w14:paraId="039FE144"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2" w:name="_Toc232759445"/>
      <w:r w:rsidRPr="003C4BBB">
        <w:rPr>
          <w:rFonts w:asciiTheme="minorHAnsi" w:hAnsiTheme="minorHAnsi" w:cstheme="minorHAnsi"/>
          <w:color w:val="767171" w:themeColor="background2" w:themeShade="80"/>
          <w:sz w:val="22"/>
          <w:szCs w:val="22"/>
        </w:rPr>
        <w:t>1.2. Mémoire technique</w:t>
      </w:r>
      <w:bookmarkEnd w:id="2"/>
    </w:p>
    <w:p w14:paraId="2791ABF8"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titulaire formulera sa réponse sous la forme d’un mémoire technique détaillant précisément le périmètre de sa fourniture et de sa prestation. L’ensemble des paragraphes du présent CCTP demande une réponse, point par point, dans ce mémoire.</w:t>
      </w:r>
    </w:p>
    <w:p w14:paraId="1A18A040"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3" w:name="_Toc232759446"/>
      <w:r w:rsidRPr="003C4BBB">
        <w:rPr>
          <w:rFonts w:asciiTheme="minorHAnsi" w:hAnsiTheme="minorHAnsi" w:cstheme="minorHAnsi"/>
          <w:color w:val="767171" w:themeColor="background2" w:themeShade="80"/>
          <w:sz w:val="22"/>
          <w:szCs w:val="22"/>
        </w:rPr>
        <w:t>1.3. Référents projet CHU de Toulouse</w:t>
      </w:r>
      <w:bookmarkEnd w:id="3"/>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50"/>
        <w:gridCol w:w="3322"/>
        <w:gridCol w:w="2718"/>
      </w:tblGrid>
      <w:tr w:rsidR="009D6930" w:rsidRPr="00206109" w14:paraId="6655971E" w14:textId="67F8E172" w:rsidTr="009D6930">
        <w:tc>
          <w:tcPr>
            <w:tcW w:w="3250" w:type="dxa"/>
            <w:tcBorders>
              <w:top w:val="single" w:sz="6" w:space="0" w:color="BFBFBF"/>
              <w:left w:val="single" w:sz="6" w:space="0" w:color="BFBFBF"/>
              <w:bottom w:val="single" w:sz="6" w:space="0" w:color="BFBFBF"/>
              <w:right w:val="single" w:sz="6" w:space="0" w:color="BFBFBF"/>
            </w:tcBorders>
            <w:shd w:val="clear" w:color="auto" w:fill="1F4E79"/>
            <w:tcMar>
              <w:top w:w="80" w:type="dxa"/>
              <w:left w:w="120" w:type="dxa"/>
              <w:bottom w:w="80" w:type="dxa"/>
              <w:right w:w="120" w:type="dxa"/>
            </w:tcMar>
            <w:vAlign w:val="center"/>
          </w:tcPr>
          <w:p w14:paraId="3DC86EB3" w14:textId="77777777" w:rsidR="009D6930" w:rsidRPr="003506AE" w:rsidRDefault="009D6930">
            <w:pPr>
              <w:jc w:val="center"/>
              <w:rPr>
                <w:rFonts w:asciiTheme="minorHAnsi" w:hAnsiTheme="minorHAnsi" w:cstheme="minorHAnsi"/>
                <w:color w:val="FFFFFF" w:themeColor="background1"/>
              </w:rPr>
            </w:pPr>
            <w:r w:rsidRPr="003506AE">
              <w:rPr>
                <w:rFonts w:asciiTheme="minorHAnsi" w:hAnsiTheme="minorHAnsi" w:cstheme="minorHAnsi"/>
                <w:b/>
                <w:bCs/>
                <w:color w:val="FFFFFF" w:themeColor="background1"/>
                <w:sz w:val="20"/>
                <w:szCs w:val="20"/>
              </w:rPr>
              <w:t>Référents biologie médicale</w:t>
            </w:r>
          </w:p>
        </w:tc>
        <w:tc>
          <w:tcPr>
            <w:tcW w:w="3322" w:type="dxa"/>
            <w:tcBorders>
              <w:top w:val="single" w:sz="6" w:space="0" w:color="BFBFBF"/>
              <w:left w:val="single" w:sz="6" w:space="0" w:color="BFBFBF"/>
              <w:bottom w:val="single" w:sz="6" w:space="0" w:color="BFBFBF"/>
              <w:right w:val="single" w:sz="6" w:space="0" w:color="BFBFBF"/>
            </w:tcBorders>
            <w:shd w:val="clear" w:color="auto" w:fill="1F4E79"/>
            <w:tcMar>
              <w:top w:w="80" w:type="dxa"/>
              <w:left w:w="120" w:type="dxa"/>
              <w:bottom w:w="80" w:type="dxa"/>
              <w:right w:w="120" w:type="dxa"/>
            </w:tcMar>
            <w:vAlign w:val="center"/>
          </w:tcPr>
          <w:p w14:paraId="4D4B8C63" w14:textId="77777777" w:rsidR="009D6930" w:rsidRPr="003506AE" w:rsidRDefault="009D6930">
            <w:pPr>
              <w:jc w:val="center"/>
              <w:rPr>
                <w:rFonts w:asciiTheme="minorHAnsi" w:hAnsiTheme="minorHAnsi" w:cstheme="minorHAnsi"/>
                <w:color w:val="FFFFFF" w:themeColor="background1"/>
              </w:rPr>
            </w:pPr>
            <w:r w:rsidRPr="003506AE">
              <w:rPr>
                <w:rFonts w:asciiTheme="minorHAnsi" w:hAnsiTheme="minorHAnsi" w:cstheme="minorHAnsi"/>
                <w:b/>
                <w:bCs/>
                <w:color w:val="FFFFFF" w:themeColor="background1"/>
                <w:sz w:val="20"/>
                <w:szCs w:val="20"/>
              </w:rPr>
              <w:t>Référents Achats / Biomédical</w:t>
            </w:r>
          </w:p>
        </w:tc>
        <w:tc>
          <w:tcPr>
            <w:tcW w:w="2718" w:type="dxa"/>
            <w:tcBorders>
              <w:top w:val="single" w:sz="6" w:space="0" w:color="BFBFBF"/>
              <w:left w:val="single" w:sz="6" w:space="0" w:color="BFBFBF"/>
              <w:bottom w:val="single" w:sz="6" w:space="0" w:color="BFBFBF"/>
              <w:right w:val="single" w:sz="6" w:space="0" w:color="BFBFBF"/>
            </w:tcBorders>
            <w:shd w:val="clear" w:color="auto" w:fill="1F4E79"/>
          </w:tcPr>
          <w:p w14:paraId="51EDC92D" w14:textId="6CBB1EF5" w:rsidR="009D6930" w:rsidRPr="003506AE" w:rsidRDefault="009D6930">
            <w:pPr>
              <w:jc w:val="center"/>
              <w:rPr>
                <w:rFonts w:asciiTheme="minorHAnsi" w:hAnsiTheme="minorHAnsi" w:cstheme="minorHAnsi"/>
                <w:b/>
                <w:bCs/>
                <w:color w:val="FFFFFF" w:themeColor="background1"/>
                <w:sz w:val="20"/>
                <w:szCs w:val="20"/>
              </w:rPr>
            </w:pPr>
            <w:r w:rsidRPr="003506AE">
              <w:rPr>
                <w:rFonts w:asciiTheme="minorHAnsi" w:hAnsiTheme="minorHAnsi" w:cstheme="minorHAnsi"/>
                <w:b/>
                <w:bCs/>
                <w:color w:val="FFFFFF" w:themeColor="background1"/>
                <w:sz w:val="20"/>
                <w:szCs w:val="20"/>
              </w:rPr>
              <w:t>Référents Architecture informatique</w:t>
            </w:r>
          </w:p>
        </w:tc>
      </w:tr>
      <w:tr w:rsidR="009D6930" w:rsidRPr="00206109" w14:paraId="7FDF353D" w14:textId="2A4B995E" w:rsidTr="003506AE">
        <w:trPr>
          <w:trHeight w:val="2074"/>
        </w:trPr>
        <w:tc>
          <w:tcPr>
            <w:tcW w:w="325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08861E1A" w14:textId="77777777" w:rsidR="009D6930" w:rsidRPr="00206109" w:rsidRDefault="009D6930">
            <w:pPr>
              <w:rPr>
                <w:rFonts w:asciiTheme="minorHAnsi" w:hAnsiTheme="minorHAnsi" w:cstheme="minorHAnsi"/>
                <w:sz w:val="20"/>
                <w:szCs w:val="20"/>
              </w:rPr>
            </w:pPr>
            <w:r w:rsidRPr="00206109">
              <w:rPr>
                <w:rFonts w:asciiTheme="minorHAnsi" w:hAnsiTheme="minorHAnsi" w:cstheme="minorHAnsi"/>
                <w:sz w:val="20"/>
                <w:szCs w:val="20"/>
              </w:rPr>
              <w:t>Dr Mimoza MANIKA – Biologiste</w:t>
            </w:r>
          </w:p>
          <w:p w14:paraId="7EDECE08" w14:textId="4A62EBBC" w:rsidR="009D6930" w:rsidRPr="00206109" w:rsidRDefault="009D6930">
            <w:pPr>
              <w:rPr>
                <w:rFonts w:asciiTheme="minorHAnsi" w:hAnsiTheme="minorHAnsi" w:cstheme="minorHAnsi"/>
                <w:sz w:val="20"/>
                <w:szCs w:val="20"/>
              </w:rPr>
            </w:pPr>
            <w:r w:rsidRPr="00206109">
              <w:rPr>
                <w:rFonts w:asciiTheme="minorHAnsi" w:hAnsiTheme="minorHAnsi" w:cstheme="minorHAnsi"/>
                <w:sz w:val="20"/>
                <w:szCs w:val="20"/>
              </w:rPr>
              <w:t>Dr Marie-Sophie COMBIS – Biologiste</w:t>
            </w:r>
          </w:p>
          <w:p w14:paraId="4FFA6E80" w14:textId="2C10A838" w:rsidR="00AF0D7C" w:rsidRPr="00206109" w:rsidRDefault="00AF0D7C">
            <w:pPr>
              <w:rPr>
                <w:rFonts w:asciiTheme="minorHAnsi" w:hAnsiTheme="minorHAnsi" w:cstheme="minorHAnsi"/>
                <w:sz w:val="20"/>
                <w:szCs w:val="20"/>
              </w:rPr>
            </w:pPr>
            <w:r w:rsidRPr="00206109">
              <w:rPr>
                <w:rFonts w:asciiTheme="minorHAnsi" w:hAnsiTheme="minorHAnsi" w:cstheme="minorHAnsi"/>
                <w:sz w:val="20"/>
                <w:szCs w:val="20"/>
              </w:rPr>
              <w:t>Dr Céline VERDIER - Biologiste</w:t>
            </w:r>
          </w:p>
          <w:p w14:paraId="59EF9524" w14:textId="4C5D46DB" w:rsidR="009D6930" w:rsidRPr="00206109" w:rsidRDefault="009D6930">
            <w:pPr>
              <w:rPr>
                <w:rFonts w:asciiTheme="minorHAnsi" w:hAnsiTheme="minorHAnsi" w:cstheme="minorHAnsi"/>
                <w:sz w:val="20"/>
                <w:szCs w:val="20"/>
              </w:rPr>
            </w:pPr>
            <w:r w:rsidRPr="00206109">
              <w:rPr>
                <w:rFonts w:asciiTheme="minorHAnsi" w:hAnsiTheme="minorHAnsi" w:cstheme="minorHAnsi"/>
                <w:sz w:val="20"/>
                <w:szCs w:val="20"/>
              </w:rPr>
              <w:t xml:space="preserve">M. Gael Gascoin – Cadre supérieur de santé Pôle de biologie </w:t>
            </w:r>
          </w:p>
          <w:p w14:paraId="7C933BFA" w14:textId="619F9603" w:rsidR="009D6930" w:rsidRPr="00206109" w:rsidRDefault="009D6930">
            <w:pPr>
              <w:rPr>
                <w:rFonts w:asciiTheme="minorHAnsi" w:hAnsiTheme="minorHAnsi" w:cstheme="minorHAnsi"/>
              </w:rPr>
            </w:pPr>
          </w:p>
        </w:tc>
        <w:tc>
          <w:tcPr>
            <w:tcW w:w="3322"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0D73A7BB" w14:textId="77777777" w:rsidR="009D6930" w:rsidRPr="00206109" w:rsidRDefault="009D6930">
            <w:pPr>
              <w:rPr>
                <w:rFonts w:asciiTheme="minorHAnsi" w:hAnsiTheme="minorHAnsi" w:cstheme="minorHAnsi"/>
                <w:sz w:val="20"/>
                <w:szCs w:val="20"/>
              </w:rPr>
            </w:pPr>
          </w:p>
          <w:p w14:paraId="52E2E7CA" w14:textId="77777777" w:rsidR="009D6930" w:rsidRPr="00206109" w:rsidRDefault="009D6930">
            <w:pPr>
              <w:rPr>
                <w:rFonts w:asciiTheme="minorHAnsi" w:hAnsiTheme="minorHAnsi" w:cstheme="minorHAnsi"/>
                <w:sz w:val="20"/>
                <w:szCs w:val="20"/>
              </w:rPr>
            </w:pPr>
            <w:r w:rsidRPr="00206109">
              <w:rPr>
                <w:rFonts w:asciiTheme="minorHAnsi" w:hAnsiTheme="minorHAnsi" w:cstheme="minorHAnsi"/>
                <w:sz w:val="20"/>
                <w:szCs w:val="20"/>
              </w:rPr>
              <w:t>Mme Eva VICTOR – Acheteur</w:t>
            </w:r>
          </w:p>
          <w:p w14:paraId="58ABB6E2" w14:textId="77777777" w:rsidR="009D6930" w:rsidRPr="00206109" w:rsidRDefault="009D6930">
            <w:pPr>
              <w:rPr>
                <w:rFonts w:asciiTheme="minorHAnsi" w:hAnsiTheme="minorHAnsi" w:cstheme="minorHAnsi"/>
                <w:sz w:val="20"/>
                <w:szCs w:val="20"/>
              </w:rPr>
            </w:pPr>
            <w:r w:rsidRPr="00206109">
              <w:rPr>
                <w:rFonts w:asciiTheme="minorHAnsi" w:hAnsiTheme="minorHAnsi" w:cstheme="minorHAnsi"/>
                <w:sz w:val="20"/>
                <w:szCs w:val="20"/>
              </w:rPr>
              <w:t>05 61 77 82 90</w:t>
            </w:r>
          </w:p>
          <w:p w14:paraId="5FF2BEFC" w14:textId="77777777" w:rsidR="00A5165C" w:rsidRDefault="00EF3D2B">
            <w:pPr>
              <w:rPr>
                <w:rStyle w:val="Lienhypertexte"/>
                <w:rFonts w:asciiTheme="minorHAnsi" w:hAnsiTheme="minorHAnsi" w:cstheme="minorHAnsi"/>
                <w:sz w:val="20"/>
                <w:szCs w:val="20"/>
              </w:rPr>
            </w:pPr>
            <w:hyperlink r:id="rId10" w:history="1">
              <w:r w:rsidR="009D6930" w:rsidRPr="00206109">
                <w:rPr>
                  <w:rStyle w:val="Lienhypertexte"/>
                  <w:rFonts w:asciiTheme="minorHAnsi" w:hAnsiTheme="minorHAnsi" w:cstheme="minorHAnsi"/>
                  <w:sz w:val="20"/>
                  <w:szCs w:val="20"/>
                </w:rPr>
                <w:t>victor.e@chu-toulouse.fr</w:t>
              </w:r>
            </w:hyperlink>
          </w:p>
          <w:p w14:paraId="4F4AABE2" w14:textId="77777777" w:rsidR="0028008D" w:rsidRDefault="0028008D">
            <w:pPr>
              <w:rPr>
                <w:rStyle w:val="Lienhypertexte"/>
                <w:sz w:val="20"/>
                <w:szCs w:val="20"/>
              </w:rPr>
            </w:pPr>
          </w:p>
          <w:p w14:paraId="7EB0E6D2" w14:textId="77777777" w:rsidR="0028008D" w:rsidRPr="00206109" w:rsidRDefault="0028008D" w:rsidP="0028008D">
            <w:pPr>
              <w:rPr>
                <w:rFonts w:asciiTheme="minorHAnsi" w:hAnsiTheme="minorHAnsi" w:cstheme="minorHAnsi"/>
                <w:sz w:val="20"/>
                <w:szCs w:val="20"/>
              </w:rPr>
            </w:pPr>
            <w:r w:rsidRPr="00206109">
              <w:rPr>
                <w:rFonts w:asciiTheme="minorHAnsi" w:hAnsiTheme="minorHAnsi" w:cstheme="minorHAnsi"/>
                <w:sz w:val="20"/>
                <w:szCs w:val="20"/>
              </w:rPr>
              <w:t>M. Benoit DOGNY – Ingénieur Biomédical</w:t>
            </w:r>
          </w:p>
          <w:p w14:paraId="639411CE" w14:textId="77777777" w:rsidR="0028008D" w:rsidRPr="00206109" w:rsidRDefault="0028008D" w:rsidP="0028008D">
            <w:pPr>
              <w:rPr>
                <w:rFonts w:asciiTheme="minorHAnsi" w:hAnsiTheme="minorHAnsi" w:cstheme="minorHAnsi"/>
                <w:sz w:val="20"/>
                <w:szCs w:val="20"/>
              </w:rPr>
            </w:pPr>
            <w:r w:rsidRPr="00206109">
              <w:rPr>
                <w:rFonts w:asciiTheme="minorHAnsi" w:hAnsiTheme="minorHAnsi" w:cstheme="minorHAnsi"/>
                <w:sz w:val="20"/>
                <w:szCs w:val="20"/>
              </w:rPr>
              <w:t>05 67 69 03 91</w:t>
            </w:r>
          </w:p>
          <w:p w14:paraId="427BEE11" w14:textId="77777777" w:rsidR="0028008D" w:rsidRPr="00206109" w:rsidRDefault="00EF3D2B" w:rsidP="0028008D">
            <w:pPr>
              <w:rPr>
                <w:rFonts w:asciiTheme="minorHAnsi" w:hAnsiTheme="minorHAnsi" w:cstheme="minorHAnsi"/>
                <w:sz w:val="20"/>
                <w:szCs w:val="20"/>
              </w:rPr>
            </w:pPr>
            <w:hyperlink r:id="rId11" w:history="1">
              <w:r w:rsidR="0028008D" w:rsidRPr="00206109">
                <w:rPr>
                  <w:rStyle w:val="Lienhypertexte"/>
                  <w:rFonts w:asciiTheme="minorHAnsi" w:hAnsiTheme="minorHAnsi" w:cstheme="minorHAnsi"/>
                  <w:sz w:val="20"/>
                  <w:szCs w:val="20"/>
                </w:rPr>
                <w:t>dogny.b@chu-toulouse.fr</w:t>
              </w:r>
            </w:hyperlink>
          </w:p>
          <w:p w14:paraId="3770DD1B" w14:textId="7E95AE3F" w:rsidR="0028008D" w:rsidRPr="00206109" w:rsidRDefault="0028008D">
            <w:pPr>
              <w:rPr>
                <w:rFonts w:asciiTheme="minorHAnsi" w:hAnsiTheme="minorHAnsi" w:cstheme="minorHAnsi"/>
                <w:sz w:val="20"/>
                <w:szCs w:val="20"/>
              </w:rPr>
            </w:pPr>
          </w:p>
        </w:tc>
        <w:tc>
          <w:tcPr>
            <w:tcW w:w="2718" w:type="dxa"/>
            <w:tcBorders>
              <w:top w:val="single" w:sz="6" w:space="0" w:color="BFBFBF"/>
              <w:left w:val="single" w:sz="6" w:space="0" w:color="BFBFBF"/>
              <w:bottom w:val="single" w:sz="6" w:space="0" w:color="BFBFBF"/>
              <w:right w:val="single" w:sz="6" w:space="0" w:color="BFBFBF"/>
            </w:tcBorders>
            <w:vAlign w:val="center"/>
          </w:tcPr>
          <w:p w14:paraId="314772B5" w14:textId="26173370" w:rsidR="009D6930" w:rsidRPr="00206109" w:rsidRDefault="009D6930" w:rsidP="00BB4A1C">
            <w:pPr>
              <w:rPr>
                <w:rFonts w:asciiTheme="minorHAnsi" w:hAnsiTheme="minorHAnsi" w:cstheme="minorHAnsi"/>
                <w:sz w:val="20"/>
                <w:szCs w:val="20"/>
              </w:rPr>
            </w:pPr>
            <w:r w:rsidRPr="00206109">
              <w:rPr>
                <w:rFonts w:asciiTheme="minorHAnsi" w:hAnsiTheme="minorHAnsi" w:cstheme="minorHAnsi"/>
                <w:sz w:val="20"/>
                <w:szCs w:val="20"/>
              </w:rPr>
              <w:t>M. Alexandre Michelot – Architecte Applicatif</w:t>
            </w:r>
          </w:p>
        </w:tc>
      </w:tr>
    </w:tbl>
    <w:p w14:paraId="310A5C99" w14:textId="77777777" w:rsidR="0086323F" w:rsidRPr="00206109" w:rsidRDefault="00964243">
      <w:pPr>
        <w:pStyle w:val="Titre1"/>
        <w:rPr>
          <w:rFonts w:asciiTheme="minorHAnsi" w:hAnsiTheme="minorHAnsi" w:cstheme="minorHAnsi"/>
        </w:rPr>
      </w:pPr>
      <w:bookmarkStart w:id="4" w:name="_Toc232759447"/>
      <w:r w:rsidRPr="00206109">
        <w:rPr>
          <w:rFonts w:asciiTheme="minorHAnsi" w:hAnsiTheme="minorHAnsi" w:cstheme="minorHAnsi"/>
        </w:rPr>
        <w:lastRenderedPageBreak/>
        <w:t>2. Objet de l’appel d’offres</w:t>
      </w:r>
      <w:bookmarkEnd w:id="4"/>
    </w:p>
    <w:p w14:paraId="758F21BC"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5" w:name="_Toc232759448"/>
      <w:r w:rsidRPr="003C4BBB">
        <w:rPr>
          <w:rFonts w:asciiTheme="minorHAnsi" w:hAnsiTheme="minorHAnsi" w:cstheme="minorHAnsi"/>
          <w:color w:val="767171" w:themeColor="background2" w:themeShade="80"/>
          <w:sz w:val="22"/>
          <w:szCs w:val="22"/>
        </w:rPr>
        <w:t>2.1. Besoins</w:t>
      </w:r>
      <w:bookmarkEnd w:id="5"/>
    </w:p>
    <w:p w14:paraId="0F0E266E"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titulaire devra fournir, dans le cadre d’un marché unique conclu sous forme d’accord-cadre mono-attributaire :</w:t>
      </w:r>
    </w:p>
    <w:p w14:paraId="2CE50AA0" w14:textId="3E726675"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un</w:t>
      </w:r>
      <w:proofErr w:type="gramEnd"/>
      <w:r w:rsidRPr="00206109">
        <w:rPr>
          <w:rFonts w:asciiTheme="minorHAnsi" w:hAnsiTheme="minorHAnsi" w:cstheme="minorHAnsi"/>
          <w:b/>
          <w:bCs/>
        </w:rPr>
        <w:t xml:space="preserve"> parc </w:t>
      </w:r>
      <w:r w:rsidR="0054444D" w:rsidRPr="00206109">
        <w:rPr>
          <w:rFonts w:asciiTheme="minorHAnsi" w:hAnsiTheme="minorHAnsi" w:cstheme="minorHAnsi"/>
          <w:b/>
          <w:bCs/>
        </w:rPr>
        <w:t>d’</w:t>
      </w:r>
      <w:r w:rsidRPr="00206109">
        <w:rPr>
          <w:rFonts w:asciiTheme="minorHAnsi" w:hAnsiTheme="minorHAnsi" w:cstheme="minorHAnsi"/>
          <w:b/>
          <w:bCs/>
        </w:rPr>
        <w:t xml:space="preserve">analyseurs de gaz du sang </w:t>
      </w:r>
      <w:r w:rsidRPr="00206109">
        <w:rPr>
          <w:rFonts w:asciiTheme="minorHAnsi" w:hAnsiTheme="minorHAnsi" w:cstheme="minorHAnsi"/>
        </w:rPr>
        <w:t>neufs, homogènes répartis sur les 4 sites et 14 services identifiés au §2.6 ;</w:t>
      </w:r>
    </w:p>
    <w:p w14:paraId="69D56C99" w14:textId="3057EC51"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l’ensemble</w:t>
      </w:r>
      <w:proofErr w:type="gramEnd"/>
      <w:r w:rsidRPr="00206109">
        <w:rPr>
          <w:rFonts w:asciiTheme="minorHAnsi" w:hAnsiTheme="minorHAnsi" w:cstheme="minorHAnsi"/>
          <w:b/>
          <w:bCs/>
        </w:rPr>
        <w:t xml:space="preserve"> des réactifs, consommables, contrôles internes de qualité (CIQ) et </w:t>
      </w:r>
      <w:proofErr w:type="spellStart"/>
      <w:r w:rsidRPr="00206109">
        <w:rPr>
          <w:rFonts w:asciiTheme="minorHAnsi" w:hAnsiTheme="minorHAnsi" w:cstheme="minorHAnsi"/>
          <w:b/>
          <w:bCs/>
        </w:rPr>
        <w:t>calibrants</w:t>
      </w:r>
      <w:proofErr w:type="spellEnd"/>
      <w:r w:rsidRPr="00206109">
        <w:rPr>
          <w:rFonts w:asciiTheme="minorHAnsi" w:hAnsiTheme="minorHAnsi" w:cstheme="minorHAnsi"/>
          <w:b/>
          <w:bCs/>
        </w:rPr>
        <w:t xml:space="preserve"> </w:t>
      </w:r>
      <w:r w:rsidRPr="00206109">
        <w:rPr>
          <w:rFonts w:asciiTheme="minorHAnsi" w:hAnsiTheme="minorHAnsi" w:cstheme="minorHAnsi"/>
        </w:rPr>
        <w:t>nécessaires au fonctionnement de ces analyseurs ;</w:t>
      </w:r>
    </w:p>
    <w:p w14:paraId="3BB40692" w14:textId="3811B8D1"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un</w:t>
      </w:r>
      <w:proofErr w:type="gramEnd"/>
      <w:r w:rsidRPr="00206109">
        <w:rPr>
          <w:rFonts w:asciiTheme="minorHAnsi" w:hAnsiTheme="minorHAnsi" w:cstheme="minorHAnsi"/>
          <w:b/>
          <w:bCs/>
        </w:rPr>
        <w:t xml:space="preserve"> middleware (gestionnaire de données / Data Manager) </w:t>
      </w:r>
      <w:r w:rsidRPr="00206109">
        <w:rPr>
          <w:rFonts w:asciiTheme="minorHAnsi" w:hAnsiTheme="minorHAnsi" w:cstheme="minorHAnsi"/>
        </w:rPr>
        <w:t xml:space="preserve">complet permettant le pilotage, la traçabilité, la centralisation des résultats, la gestion des opérateurs et des habilitations, ainsi que la connexion bidirectionnelle au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w:t>
      </w:r>
    </w:p>
    <w:p w14:paraId="6D969BCC" w14:textId="5956CDD4" w:rsidR="00F83DF4" w:rsidRPr="00206109" w:rsidRDefault="00F83DF4">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un</w:t>
      </w:r>
      <w:proofErr w:type="gramEnd"/>
      <w:r w:rsidRPr="00206109">
        <w:rPr>
          <w:rFonts w:asciiTheme="minorHAnsi" w:hAnsiTheme="minorHAnsi" w:cstheme="minorHAnsi"/>
          <w:b/>
          <w:bCs/>
        </w:rPr>
        <w:t xml:space="preserve"> logiciel/fichier d’aide aux Validations des Méthodes </w:t>
      </w:r>
      <w:r w:rsidRPr="00206109">
        <w:rPr>
          <w:rFonts w:asciiTheme="minorHAnsi" w:hAnsiTheme="minorHAnsi" w:cstheme="minorHAnsi"/>
        </w:rPr>
        <w:t>pour l’installation et pour le suivi des performances tout au long du marché ;</w:t>
      </w:r>
    </w:p>
    <w:p w14:paraId="046CD27A" w14:textId="2A4C3EE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la</w:t>
      </w:r>
      <w:proofErr w:type="gramEnd"/>
      <w:r w:rsidRPr="00206109">
        <w:rPr>
          <w:rFonts w:asciiTheme="minorHAnsi" w:hAnsiTheme="minorHAnsi" w:cstheme="minorHAnsi"/>
          <w:b/>
          <w:bCs/>
        </w:rPr>
        <w:t xml:space="preserve"> connexion au middleware </w:t>
      </w:r>
      <w:r w:rsidR="0054444D" w:rsidRPr="00206109">
        <w:rPr>
          <w:rFonts w:asciiTheme="minorHAnsi" w:hAnsiTheme="minorHAnsi" w:cstheme="minorHAnsi"/>
          <w:b/>
          <w:bCs/>
        </w:rPr>
        <w:t>de l’ensemble des analyseurs</w:t>
      </w:r>
      <w:r w:rsidRPr="00206109">
        <w:rPr>
          <w:rFonts w:asciiTheme="minorHAnsi" w:hAnsiTheme="minorHAnsi" w:cstheme="minorHAnsi"/>
          <w:b/>
          <w:bCs/>
        </w:rPr>
        <w:t xml:space="preserve"> tiers </w:t>
      </w:r>
      <w:r w:rsidRPr="00206109">
        <w:rPr>
          <w:rFonts w:asciiTheme="minorHAnsi" w:hAnsiTheme="minorHAnsi" w:cstheme="minorHAnsi"/>
        </w:rPr>
        <w:t xml:space="preserve">actuellement raccordés au </w:t>
      </w:r>
      <w:proofErr w:type="spellStart"/>
      <w:r w:rsidRPr="00206109">
        <w:rPr>
          <w:rFonts w:asciiTheme="minorHAnsi" w:hAnsiTheme="minorHAnsi" w:cstheme="minorHAnsi"/>
        </w:rPr>
        <w:t>POCcelerator</w:t>
      </w:r>
      <w:proofErr w:type="spellEnd"/>
      <w:r w:rsidRPr="00206109">
        <w:rPr>
          <w:rFonts w:asciiTheme="minorHAnsi" w:hAnsiTheme="minorHAnsi" w:cstheme="minorHAnsi"/>
        </w:rPr>
        <w:t xml:space="preserve"> (cf. §2.6) et la fourniture de la totalité des éléments d’interface nécessaires ;</w:t>
      </w:r>
    </w:p>
    <w:p w14:paraId="22C193F5" w14:textId="77777777" w:rsidR="0054444D" w:rsidRPr="00206109" w:rsidRDefault="00964243" w:rsidP="0054444D">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l’installation</w:t>
      </w:r>
      <w:proofErr w:type="gramEnd"/>
      <w:r w:rsidRPr="00206109">
        <w:rPr>
          <w:rFonts w:asciiTheme="minorHAnsi" w:hAnsiTheme="minorHAnsi" w:cstheme="minorHAnsi"/>
          <w:b/>
          <w:bCs/>
        </w:rPr>
        <w:t>, la mise en service, la formation des utilisateurs</w:t>
      </w:r>
      <w:r w:rsidR="0001647C" w:rsidRPr="00206109">
        <w:rPr>
          <w:rFonts w:asciiTheme="minorHAnsi" w:hAnsiTheme="minorHAnsi" w:cstheme="minorHAnsi"/>
          <w:b/>
          <w:bCs/>
        </w:rPr>
        <w:t xml:space="preserve"> (de jour comme de nuit)</w:t>
      </w:r>
      <w:r w:rsidRPr="00206109">
        <w:rPr>
          <w:rFonts w:asciiTheme="minorHAnsi" w:hAnsiTheme="minorHAnsi" w:cstheme="minorHAnsi"/>
          <w:b/>
          <w:bCs/>
        </w:rPr>
        <w:t xml:space="preserve">, la maintenance préventive et curative tous risques </w:t>
      </w:r>
      <w:r w:rsidRPr="00206109">
        <w:rPr>
          <w:rFonts w:asciiTheme="minorHAnsi" w:hAnsiTheme="minorHAnsi" w:cstheme="minorHAnsi"/>
        </w:rPr>
        <w:t>de l’ensemble des équipements (analyseurs et serveurs middleware) sur toute la durée du marché ;</w:t>
      </w:r>
    </w:p>
    <w:p w14:paraId="0FE6D53B" w14:textId="12B4AC92" w:rsidR="0086323F" w:rsidRPr="003C4BBB" w:rsidRDefault="0054444D" w:rsidP="0054444D">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b/>
          <w:bCs/>
        </w:rPr>
        <w:t>la</w:t>
      </w:r>
      <w:proofErr w:type="gramEnd"/>
      <w:r w:rsidRPr="00206109">
        <w:rPr>
          <w:rFonts w:asciiTheme="minorHAnsi" w:hAnsiTheme="minorHAnsi" w:cstheme="minorHAnsi"/>
          <w:b/>
          <w:bCs/>
        </w:rPr>
        <w:t xml:space="preserve"> coordination de l'installation,</w:t>
      </w:r>
      <w:r w:rsidRPr="00206109">
        <w:rPr>
          <w:rFonts w:asciiTheme="minorHAnsi" w:hAnsiTheme="minorHAnsi" w:cstheme="minorHAnsi"/>
        </w:rPr>
        <w:t xml:space="preserve"> selon un plan de déploiement articulé avec le calendrier de retrait des équipements actuels — déploiement progressif ou bascule simultanée au choix du candidat —, ainsi que la migration des paramétrages et éventuellement la reprise de l'historique des données du middleware (au minimum 24 mois, à préciser dans l’offre).</w:t>
      </w:r>
    </w:p>
    <w:p w14:paraId="258EE35F"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6" w:name="_Toc232759449"/>
      <w:r w:rsidRPr="003C4BBB">
        <w:rPr>
          <w:rFonts w:asciiTheme="minorHAnsi" w:hAnsiTheme="minorHAnsi" w:cstheme="minorHAnsi"/>
          <w:color w:val="767171" w:themeColor="background2" w:themeShade="80"/>
          <w:sz w:val="22"/>
          <w:szCs w:val="22"/>
        </w:rPr>
        <w:t>2.2. Volumes et évolution prévisionnelle</w:t>
      </w:r>
      <w:bookmarkEnd w:id="6"/>
    </w:p>
    <w:p w14:paraId="75B56A0E"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L’activité de gazométrie 2024 / 2025 du CHU de Toulouse est synthétisée ci-après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3000"/>
        <w:gridCol w:w="3000"/>
      </w:tblGrid>
      <w:tr w:rsidR="0086323F" w:rsidRPr="00206109" w14:paraId="4A061645" w14:textId="77777777">
        <w:tc>
          <w:tcPr>
            <w:tcW w:w="3000" w:type="dxa"/>
            <w:tcBorders>
              <w:top w:val="single" w:sz="6" w:space="0" w:color="BFBFBF"/>
              <w:left w:val="single" w:sz="6" w:space="0" w:color="BFBFBF"/>
              <w:bottom w:val="single" w:sz="6" w:space="0" w:color="BFBFBF"/>
              <w:right w:val="single" w:sz="6" w:space="0" w:color="BFBFBF"/>
            </w:tcBorders>
            <w:shd w:val="clear" w:color="auto" w:fill="1F4E79"/>
            <w:tcMar>
              <w:top w:w="80" w:type="dxa"/>
              <w:left w:w="120" w:type="dxa"/>
              <w:bottom w:w="80" w:type="dxa"/>
              <w:right w:w="120" w:type="dxa"/>
            </w:tcMar>
            <w:vAlign w:val="center"/>
          </w:tcPr>
          <w:p w14:paraId="4BB2A447" w14:textId="77777777" w:rsidR="0086323F" w:rsidRPr="003506AE" w:rsidRDefault="00964243">
            <w:pPr>
              <w:jc w:val="center"/>
              <w:rPr>
                <w:rFonts w:asciiTheme="minorHAnsi" w:hAnsiTheme="minorHAnsi" w:cstheme="minorHAnsi"/>
                <w:color w:val="FFFFFF" w:themeColor="background1"/>
              </w:rPr>
            </w:pPr>
            <w:r w:rsidRPr="003506AE">
              <w:rPr>
                <w:rFonts w:asciiTheme="minorHAnsi" w:hAnsiTheme="minorHAnsi" w:cstheme="minorHAnsi"/>
                <w:b/>
                <w:bCs/>
                <w:color w:val="FFFFFF" w:themeColor="background1"/>
                <w:sz w:val="20"/>
                <w:szCs w:val="20"/>
              </w:rPr>
              <w:t>Année</w:t>
            </w:r>
          </w:p>
        </w:tc>
        <w:tc>
          <w:tcPr>
            <w:tcW w:w="3000" w:type="dxa"/>
            <w:tcBorders>
              <w:top w:val="single" w:sz="6" w:space="0" w:color="BFBFBF"/>
              <w:left w:val="single" w:sz="6" w:space="0" w:color="BFBFBF"/>
              <w:bottom w:val="single" w:sz="6" w:space="0" w:color="BFBFBF"/>
              <w:right w:val="single" w:sz="6" w:space="0" w:color="BFBFBF"/>
            </w:tcBorders>
            <w:shd w:val="clear" w:color="auto" w:fill="1F4E79"/>
            <w:tcMar>
              <w:top w:w="80" w:type="dxa"/>
              <w:left w:w="120" w:type="dxa"/>
              <w:bottom w:w="80" w:type="dxa"/>
              <w:right w:w="120" w:type="dxa"/>
            </w:tcMar>
            <w:vAlign w:val="center"/>
          </w:tcPr>
          <w:p w14:paraId="1F55281D" w14:textId="77777777" w:rsidR="0086323F" w:rsidRPr="003506AE" w:rsidRDefault="00964243">
            <w:pPr>
              <w:jc w:val="center"/>
              <w:rPr>
                <w:rFonts w:asciiTheme="minorHAnsi" w:hAnsiTheme="minorHAnsi" w:cstheme="minorHAnsi"/>
                <w:color w:val="FFFFFF" w:themeColor="background1"/>
              </w:rPr>
            </w:pPr>
            <w:r w:rsidRPr="003506AE">
              <w:rPr>
                <w:rFonts w:asciiTheme="minorHAnsi" w:hAnsiTheme="minorHAnsi" w:cstheme="minorHAnsi"/>
                <w:b/>
                <w:bCs/>
                <w:color w:val="FFFFFF" w:themeColor="background1"/>
                <w:sz w:val="20"/>
                <w:szCs w:val="20"/>
              </w:rPr>
              <w:t>Volume total gazométries</w:t>
            </w:r>
          </w:p>
        </w:tc>
        <w:tc>
          <w:tcPr>
            <w:tcW w:w="3000" w:type="dxa"/>
            <w:tcBorders>
              <w:top w:val="single" w:sz="6" w:space="0" w:color="BFBFBF"/>
              <w:left w:val="single" w:sz="6" w:space="0" w:color="BFBFBF"/>
              <w:bottom w:val="single" w:sz="6" w:space="0" w:color="BFBFBF"/>
              <w:right w:val="single" w:sz="6" w:space="0" w:color="BFBFBF"/>
            </w:tcBorders>
            <w:shd w:val="clear" w:color="auto" w:fill="1F4E79"/>
            <w:tcMar>
              <w:top w:w="80" w:type="dxa"/>
              <w:left w:w="120" w:type="dxa"/>
              <w:bottom w:w="80" w:type="dxa"/>
              <w:right w:w="120" w:type="dxa"/>
            </w:tcMar>
            <w:vAlign w:val="center"/>
          </w:tcPr>
          <w:p w14:paraId="20F09EBA" w14:textId="77777777" w:rsidR="0086323F" w:rsidRPr="003506AE" w:rsidRDefault="00964243">
            <w:pPr>
              <w:jc w:val="center"/>
              <w:rPr>
                <w:rFonts w:asciiTheme="minorHAnsi" w:hAnsiTheme="minorHAnsi" w:cstheme="minorHAnsi"/>
                <w:color w:val="FFFFFF" w:themeColor="background1"/>
              </w:rPr>
            </w:pPr>
            <w:r w:rsidRPr="003506AE">
              <w:rPr>
                <w:rFonts w:asciiTheme="minorHAnsi" w:hAnsiTheme="minorHAnsi" w:cstheme="minorHAnsi"/>
                <w:b/>
                <w:bCs/>
                <w:color w:val="FFFFFF" w:themeColor="background1"/>
                <w:sz w:val="20"/>
                <w:szCs w:val="20"/>
              </w:rPr>
              <w:t>Nombre d'analyseurs</w:t>
            </w:r>
          </w:p>
        </w:tc>
      </w:tr>
      <w:tr w:rsidR="0086323F" w:rsidRPr="00206109" w14:paraId="56F08F67" w14:textId="77777777">
        <w:tc>
          <w:tcPr>
            <w:tcW w:w="300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66912098" w14:textId="77777777" w:rsidR="0086323F" w:rsidRPr="00206109" w:rsidRDefault="00964243">
            <w:pPr>
              <w:jc w:val="center"/>
              <w:rPr>
                <w:rFonts w:asciiTheme="minorHAnsi" w:hAnsiTheme="minorHAnsi" w:cstheme="minorHAnsi"/>
              </w:rPr>
            </w:pPr>
            <w:r w:rsidRPr="00206109">
              <w:rPr>
                <w:rFonts w:asciiTheme="minorHAnsi" w:hAnsiTheme="minorHAnsi" w:cstheme="minorHAnsi"/>
                <w:sz w:val="20"/>
                <w:szCs w:val="20"/>
              </w:rPr>
              <w:t>2024</w:t>
            </w:r>
          </w:p>
        </w:tc>
        <w:tc>
          <w:tcPr>
            <w:tcW w:w="300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689C44A7" w14:textId="44BAB2F1" w:rsidR="0086323F" w:rsidRPr="00206109" w:rsidRDefault="00F83DF4">
            <w:pPr>
              <w:jc w:val="center"/>
              <w:rPr>
                <w:rFonts w:asciiTheme="minorHAnsi" w:hAnsiTheme="minorHAnsi" w:cstheme="minorHAnsi"/>
              </w:rPr>
            </w:pPr>
            <w:r w:rsidRPr="00206109">
              <w:rPr>
                <w:rFonts w:asciiTheme="minorHAnsi" w:hAnsiTheme="minorHAnsi" w:cstheme="minorHAnsi"/>
                <w:sz w:val="20"/>
                <w:szCs w:val="20"/>
              </w:rPr>
              <w:t>106</w:t>
            </w:r>
            <w:r w:rsidR="00A5165C" w:rsidRPr="00206109">
              <w:rPr>
                <w:rFonts w:asciiTheme="minorHAnsi" w:hAnsiTheme="minorHAnsi" w:cstheme="minorHAnsi"/>
                <w:sz w:val="20"/>
                <w:szCs w:val="20"/>
              </w:rPr>
              <w:t xml:space="preserve"> </w:t>
            </w:r>
            <w:r w:rsidRPr="00206109">
              <w:rPr>
                <w:rFonts w:asciiTheme="minorHAnsi" w:hAnsiTheme="minorHAnsi" w:cstheme="minorHAnsi"/>
                <w:sz w:val="20"/>
                <w:szCs w:val="20"/>
              </w:rPr>
              <w:t>083</w:t>
            </w:r>
          </w:p>
        </w:tc>
        <w:tc>
          <w:tcPr>
            <w:tcW w:w="300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4E02A7EA" w14:textId="77777777" w:rsidR="0086323F" w:rsidRPr="00206109" w:rsidRDefault="00964243">
            <w:pPr>
              <w:jc w:val="center"/>
              <w:rPr>
                <w:rFonts w:asciiTheme="minorHAnsi" w:hAnsiTheme="minorHAnsi" w:cstheme="minorHAnsi"/>
              </w:rPr>
            </w:pPr>
            <w:r w:rsidRPr="00206109">
              <w:rPr>
                <w:rFonts w:asciiTheme="minorHAnsi" w:hAnsiTheme="minorHAnsi" w:cstheme="minorHAnsi"/>
                <w:sz w:val="20"/>
                <w:szCs w:val="20"/>
              </w:rPr>
              <w:t>20</w:t>
            </w:r>
          </w:p>
        </w:tc>
      </w:tr>
      <w:tr w:rsidR="0086323F" w:rsidRPr="00206109" w14:paraId="2CA09A20" w14:textId="77777777">
        <w:tc>
          <w:tcPr>
            <w:tcW w:w="300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65BA42A0" w14:textId="77777777" w:rsidR="0086323F" w:rsidRPr="00206109" w:rsidRDefault="00964243">
            <w:pPr>
              <w:jc w:val="center"/>
              <w:rPr>
                <w:rFonts w:asciiTheme="minorHAnsi" w:hAnsiTheme="minorHAnsi" w:cstheme="minorHAnsi"/>
              </w:rPr>
            </w:pPr>
            <w:r w:rsidRPr="00206109">
              <w:rPr>
                <w:rFonts w:asciiTheme="minorHAnsi" w:hAnsiTheme="minorHAnsi" w:cstheme="minorHAnsi"/>
                <w:sz w:val="20"/>
                <w:szCs w:val="20"/>
              </w:rPr>
              <w:t>2025</w:t>
            </w:r>
          </w:p>
        </w:tc>
        <w:tc>
          <w:tcPr>
            <w:tcW w:w="300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359AD6A8" w14:textId="77777777" w:rsidR="0086323F" w:rsidRPr="00206109" w:rsidRDefault="00964243">
            <w:pPr>
              <w:jc w:val="center"/>
              <w:rPr>
                <w:rFonts w:asciiTheme="minorHAnsi" w:hAnsiTheme="minorHAnsi" w:cstheme="minorHAnsi"/>
              </w:rPr>
            </w:pPr>
            <w:r w:rsidRPr="00206109">
              <w:rPr>
                <w:rFonts w:asciiTheme="minorHAnsi" w:hAnsiTheme="minorHAnsi" w:cstheme="minorHAnsi"/>
                <w:sz w:val="20"/>
                <w:szCs w:val="20"/>
              </w:rPr>
              <w:t>107 557</w:t>
            </w:r>
          </w:p>
        </w:tc>
        <w:tc>
          <w:tcPr>
            <w:tcW w:w="3000" w:type="dxa"/>
            <w:tcBorders>
              <w:top w:val="single" w:sz="6" w:space="0" w:color="BFBFBF"/>
              <w:left w:val="single" w:sz="6" w:space="0" w:color="BFBFBF"/>
              <w:bottom w:val="single" w:sz="6" w:space="0" w:color="BFBFBF"/>
              <w:right w:val="single" w:sz="6" w:space="0" w:color="BFBFBF"/>
            </w:tcBorders>
            <w:tcMar>
              <w:top w:w="80" w:type="dxa"/>
              <w:left w:w="120" w:type="dxa"/>
              <w:bottom w:w="80" w:type="dxa"/>
              <w:right w:w="120" w:type="dxa"/>
            </w:tcMar>
            <w:vAlign w:val="center"/>
          </w:tcPr>
          <w:p w14:paraId="1029BF67" w14:textId="77777777" w:rsidR="0086323F" w:rsidRPr="00206109" w:rsidRDefault="00964243">
            <w:pPr>
              <w:jc w:val="center"/>
              <w:rPr>
                <w:rFonts w:asciiTheme="minorHAnsi" w:hAnsiTheme="minorHAnsi" w:cstheme="minorHAnsi"/>
              </w:rPr>
            </w:pPr>
            <w:r w:rsidRPr="00206109">
              <w:rPr>
                <w:rFonts w:asciiTheme="minorHAnsi" w:hAnsiTheme="minorHAnsi" w:cstheme="minorHAnsi"/>
                <w:sz w:val="20"/>
                <w:szCs w:val="20"/>
              </w:rPr>
              <w:t>20</w:t>
            </w:r>
          </w:p>
        </w:tc>
      </w:tr>
    </w:tbl>
    <w:p w14:paraId="284590F2" w14:textId="77777777" w:rsidR="0086323F" w:rsidRPr="00206109" w:rsidRDefault="00964243">
      <w:pPr>
        <w:spacing w:before="120" w:after="120"/>
        <w:rPr>
          <w:rFonts w:asciiTheme="minorHAnsi" w:hAnsiTheme="minorHAnsi" w:cstheme="minorHAnsi"/>
        </w:rPr>
      </w:pPr>
      <w:r w:rsidRPr="00206109">
        <w:rPr>
          <w:rFonts w:asciiTheme="minorHAnsi" w:hAnsiTheme="minorHAnsi" w:cstheme="minorHAnsi"/>
        </w:rPr>
        <w:t xml:space="preserve"> </w:t>
      </w:r>
    </w:p>
    <w:p w14:paraId="0FD66D28" w14:textId="4D692144" w:rsidR="0086323F" w:rsidRPr="00F00BB7" w:rsidRDefault="00964243">
      <w:pPr>
        <w:spacing w:after="120"/>
        <w:jc w:val="both"/>
        <w:rPr>
          <w:rFonts w:asciiTheme="minorHAnsi" w:hAnsiTheme="minorHAnsi" w:cstheme="minorHAnsi"/>
        </w:rPr>
      </w:pPr>
      <w:r w:rsidRPr="00F00BB7">
        <w:rPr>
          <w:rFonts w:asciiTheme="minorHAnsi" w:hAnsiTheme="minorHAnsi" w:cstheme="minorHAnsi"/>
        </w:rPr>
        <w:t>Le volume annuel est stable autour de 107 000 gazométries. Les volumes mentionnés sont indicatifs et peuvent varier à la hausse comme à la baisse au cours du marché en fonction de l’activité hospitalière, de l’évolution de l’organisation des services</w:t>
      </w:r>
    </w:p>
    <w:p w14:paraId="302657D2"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7" w:name="_Toc232759450"/>
      <w:r w:rsidRPr="003C4BBB">
        <w:rPr>
          <w:rFonts w:asciiTheme="minorHAnsi" w:hAnsiTheme="minorHAnsi" w:cstheme="minorHAnsi"/>
          <w:color w:val="767171" w:themeColor="background2" w:themeShade="80"/>
          <w:sz w:val="22"/>
          <w:szCs w:val="22"/>
        </w:rPr>
        <w:t>2.3. Modalités de réponse – Formule MAD totale 8 ans</w:t>
      </w:r>
      <w:bookmarkEnd w:id="7"/>
    </w:p>
    <w:p w14:paraId="4A03E749" w14:textId="3787C498"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 xml:space="preserve">Le marché est en </w:t>
      </w:r>
      <w:r w:rsidRPr="00206109">
        <w:rPr>
          <w:rFonts w:asciiTheme="minorHAnsi" w:hAnsiTheme="minorHAnsi" w:cstheme="minorHAnsi"/>
          <w:b/>
          <w:bCs/>
        </w:rPr>
        <w:t xml:space="preserve">Mise à Disposition </w:t>
      </w:r>
      <w:r w:rsidRPr="00206109">
        <w:rPr>
          <w:rFonts w:asciiTheme="minorHAnsi" w:hAnsiTheme="minorHAnsi" w:cstheme="minorHAnsi"/>
        </w:rPr>
        <w:t>des équipements et du logiciel</w:t>
      </w:r>
      <w:r w:rsidR="003506AE">
        <w:rPr>
          <w:rFonts w:asciiTheme="minorHAnsi" w:hAnsiTheme="minorHAnsi" w:cstheme="minorHAnsi"/>
        </w:rPr>
        <w:t>.</w:t>
      </w:r>
    </w:p>
    <w:p w14:paraId="6348C1E4"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8" w:name="_Toc232759451"/>
      <w:r w:rsidRPr="003C4BBB">
        <w:rPr>
          <w:rFonts w:asciiTheme="minorHAnsi" w:hAnsiTheme="minorHAnsi" w:cstheme="minorHAnsi"/>
          <w:color w:val="767171" w:themeColor="background2" w:themeShade="80"/>
          <w:sz w:val="22"/>
          <w:szCs w:val="22"/>
        </w:rPr>
        <w:t>2.4. Prestations incluses dans la MAD totale</w:t>
      </w:r>
      <w:bookmarkEnd w:id="8"/>
    </w:p>
    <w:p w14:paraId="7943355F"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La MAD totale couvre, pour la totalité de la durée du marché :</w:t>
      </w:r>
    </w:p>
    <w:p w14:paraId="22636CC8" w14:textId="347B7250"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Fourniture des analyseurs : </w:t>
      </w:r>
      <w:r w:rsidR="0054444D" w:rsidRPr="00206109">
        <w:rPr>
          <w:rFonts w:asciiTheme="minorHAnsi" w:hAnsiTheme="minorHAnsi" w:cstheme="minorHAnsi"/>
        </w:rPr>
        <w:t>G</w:t>
      </w:r>
      <w:r w:rsidRPr="00206109">
        <w:rPr>
          <w:rFonts w:asciiTheme="minorHAnsi" w:hAnsiTheme="minorHAnsi" w:cstheme="minorHAnsi"/>
        </w:rPr>
        <w:t>az du sang neufs, marqués CE-IVDR (Règlement UE 2017/746)</w:t>
      </w:r>
      <w:r w:rsidR="009A649C">
        <w:rPr>
          <w:rFonts w:asciiTheme="minorHAnsi" w:hAnsiTheme="minorHAnsi" w:cstheme="minorHAnsi"/>
        </w:rPr>
        <w:t xml:space="preserve"> ou en transition (fournir obligatoirement le calendrier de marquage</w:t>
      </w:r>
      <w:r w:rsidRPr="00206109">
        <w:rPr>
          <w:rFonts w:asciiTheme="minorHAnsi" w:hAnsiTheme="minorHAnsi" w:cstheme="minorHAnsi"/>
        </w:rPr>
        <w:t xml:space="preserve">), homogènes et adaptés à chaque site d’implantation, avec leurs accessoires (chariots / supports mobiles selon les services, lecteurs code-barres, imprimantes ticket le cas échéant, onduleurs pour les analyseurs des </w:t>
      </w:r>
      <w:r w:rsidRPr="00206109">
        <w:rPr>
          <w:rFonts w:asciiTheme="minorHAnsi" w:hAnsiTheme="minorHAnsi" w:cstheme="minorHAnsi"/>
        </w:rPr>
        <w:lastRenderedPageBreak/>
        <w:t>services de soins</w:t>
      </w:r>
      <w:r w:rsidR="003C0A8C">
        <w:rPr>
          <w:rFonts w:asciiTheme="minorHAnsi" w:hAnsiTheme="minorHAnsi" w:cstheme="minorHAnsi"/>
        </w:rPr>
        <w:t xml:space="preserve"> </w:t>
      </w:r>
      <w:proofErr w:type="spellStart"/>
      <w:r w:rsidR="003C0A8C">
        <w:rPr>
          <w:rFonts w:asciiTheme="minorHAnsi" w:hAnsiTheme="minorHAnsi" w:cstheme="minorHAnsi"/>
        </w:rPr>
        <w:t>cf</w:t>
      </w:r>
      <w:proofErr w:type="spellEnd"/>
      <w:r w:rsidR="00AF3D42" w:rsidRPr="00206109">
        <w:rPr>
          <w:rFonts w:asciiTheme="minorHAnsi" w:hAnsiTheme="minorHAnsi" w:cstheme="minorHAnsi"/>
        </w:rPr>
        <w:t xml:space="preserve"> </w:t>
      </w:r>
      <w:r w:rsidR="003C0A8C">
        <w:rPr>
          <w:rFonts w:asciiTheme="minorHAnsi" w:hAnsiTheme="minorHAnsi" w:cstheme="minorHAnsi"/>
        </w:rPr>
        <w:t xml:space="preserve">« 3-CCTP </w:t>
      </w:r>
      <w:r w:rsidR="00AF3D42" w:rsidRPr="00206109">
        <w:rPr>
          <w:rFonts w:asciiTheme="minorHAnsi" w:hAnsiTheme="minorHAnsi" w:cstheme="minorHAnsi"/>
        </w:rPr>
        <w:t xml:space="preserve">Annexe </w:t>
      </w:r>
      <w:proofErr w:type="gramStart"/>
      <w:r w:rsidR="003C0A8C">
        <w:rPr>
          <w:rFonts w:asciiTheme="minorHAnsi" w:hAnsiTheme="minorHAnsi" w:cstheme="minorHAnsi"/>
        </w:rPr>
        <w:t>5.</w:t>
      </w:r>
      <w:r w:rsidR="00AF3D42" w:rsidRPr="00206109">
        <w:rPr>
          <w:rFonts w:asciiTheme="minorHAnsi" w:hAnsiTheme="minorHAnsi" w:cstheme="minorHAnsi"/>
        </w:rPr>
        <w:t>Equipements</w:t>
      </w:r>
      <w:proofErr w:type="gramEnd"/>
      <w:r w:rsidR="00AF3D42" w:rsidRPr="00206109">
        <w:rPr>
          <w:rFonts w:asciiTheme="minorHAnsi" w:hAnsiTheme="minorHAnsi" w:cstheme="minorHAnsi"/>
        </w:rPr>
        <w:t xml:space="preserve"> à remplacer</w:t>
      </w:r>
      <w:r w:rsidR="003C0A8C">
        <w:rPr>
          <w:rFonts w:asciiTheme="minorHAnsi" w:hAnsiTheme="minorHAnsi" w:cstheme="minorHAnsi"/>
        </w:rPr>
        <w:t xml:space="preserve"> avec besoin en onduleurs et chariots »</w:t>
      </w:r>
      <w:r w:rsidRPr="00206109">
        <w:rPr>
          <w:rFonts w:asciiTheme="minorHAnsi" w:hAnsiTheme="minorHAnsi" w:cstheme="minorHAnsi"/>
        </w:rPr>
        <w:t>) ;</w:t>
      </w:r>
    </w:p>
    <w:p w14:paraId="5B510474" w14:textId="168518B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Réactifs, consommables et contrôles : </w:t>
      </w:r>
      <w:r w:rsidRPr="00206109">
        <w:rPr>
          <w:rFonts w:asciiTheme="minorHAnsi" w:hAnsiTheme="minorHAnsi" w:cstheme="minorHAnsi"/>
        </w:rPr>
        <w:t xml:space="preserve">cartouches / packs de mesure, solutions de rinçage, contrôles internes de qualité (CIQ) à 3 niveaux à raison d’au minimum 3 passages par jour et par analyseur, </w:t>
      </w:r>
      <w:proofErr w:type="spellStart"/>
      <w:r w:rsidRPr="00206109">
        <w:rPr>
          <w:rFonts w:asciiTheme="minorHAnsi" w:hAnsiTheme="minorHAnsi" w:cstheme="minorHAnsi"/>
        </w:rPr>
        <w:t>calibrants</w:t>
      </w:r>
      <w:proofErr w:type="spellEnd"/>
      <w:r w:rsidRPr="00206109">
        <w:rPr>
          <w:rFonts w:asciiTheme="minorHAnsi" w:hAnsiTheme="minorHAnsi" w:cstheme="minorHAnsi"/>
        </w:rPr>
        <w:t>, filtres, papiers d’imprimante, adaptateurs et tout consommable nécessaire au fonctionnement nominal ;</w:t>
      </w:r>
    </w:p>
    <w:p w14:paraId="4E24C123" w14:textId="06AAFA15"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Middleware (Data Manager) : </w:t>
      </w:r>
      <w:r w:rsidR="00CC4D04" w:rsidRPr="00206109">
        <w:rPr>
          <w:rFonts w:asciiTheme="minorHAnsi" w:hAnsiTheme="minorHAnsi" w:cstheme="minorHAnsi"/>
        </w:rPr>
        <w:t>fourniture, exploitation et maintenance du gestionnaire de données, dimensionné pour les gazomètres + les analyseurs tiers + environ 2 100 droits actifs au 06/02/2026 — par « droit actif » il est entendu une qualification opérateur sur un modèle d'analyseur donné, une même personne pouvant disposer de plusieurs droits sur des modèles distincts. Le candidat dimensionnera sa solution avec une marge permettant l'évolution sur 8 ans.</w:t>
      </w:r>
    </w:p>
    <w:p w14:paraId="7312443D" w14:textId="2224AEF4"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Infrastructure informatique : </w:t>
      </w:r>
      <w:r w:rsidRPr="00206109">
        <w:rPr>
          <w:rFonts w:asciiTheme="minorHAnsi" w:hAnsiTheme="minorHAnsi" w:cstheme="minorHAnsi"/>
        </w:rPr>
        <w:t xml:space="preserve">serveurs (virtualisés sur le Data Center du CHU sauf dérogation), licences logicielles, </w:t>
      </w:r>
    </w:p>
    <w:p w14:paraId="1ED0C0EA" w14:textId="541C9B2F" w:rsidR="0086323F" w:rsidRPr="00206109" w:rsidRDefault="00DC10EF">
      <w:pPr>
        <w:pStyle w:val="Paragraphedeliste"/>
        <w:numPr>
          <w:ilvl w:val="0"/>
          <w:numId w:val="2"/>
        </w:numPr>
        <w:spacing w:after="80"/>
        <w:jc w:val="both"/>
        <w:rPr>
          <w:rFonts w:asciiTheme="minorHAnsi" w:hAnsiTheme="minorHAnsi" w:cstheme="minorHAnsi"/>
        </w:rPr>
      </w:pPr>
      <w:r w:rsidRPr="00206109">
        <w:rPr>
          <w:rStyle w:val="lev"/>
          <w:rFonts w:asciiTheme="minorHAnsi" w:hAnsiTheme="minorHAnsi" w:cstheme="minorHAnsi"/>
        </w:rPr>
        <w:t>Interfaces</w:t>
      </w:r>
      <w:r w:rsidRPr="00206109">
        <w:rPr>
          <w:rFonts w:asciiTheme="minorHAnsi" w:hAnsiTheme="minorHAnsi" w:cstheme="minorHAnsi"/>
        </w:rPr>
        <w:t xml:space="preserve"> : raccordement bidirectionnel </w:t>
      </w:r>
      <w:r w:rsidR="00AF3D42" w:rsidRPr="00206109">
        <w:rPr>
          <w:rFonts w:asciiTheme="minorHAnsi" w:hAnsiTheme="minorHAnsi" w:cstheme="minorHAnsi"/>
        </w:rPr>
        <w:t xml:space="preserve">(si disponible) </w:t>
      </w:r>
      <w:r w:rsidRPr="00206109">
        <w:rPr>
          <w:rFonts w:asciiTheme="minorHAnsi" w:hAnsiTheme="minorHAnsi" w:cstheme="minorHAnsi"/>
        </w:rPr>
        <w:t xml:space="preserve">du middleware au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pour l'ensemble des analyseurs délocalisés, et au système </w:t>
      </w:r>
      <w:proofErr w:type="spellStart"/>
      <w:r w:rsidRPr="00206109">
        <w:rPr>
          <w:rFonts w:asciiTheme="minorHAnsi" w:hAnsiTheme="minorHAnsi" w:cstheme="minorHAnsi"/>
        </w:rPr>
        <w:t>OneLink</w:t>
      </w:r>
      <w:proofErr w:type="spellEnd"/>
      <w:r w:rsidRPr="00206109">
        <w:rPr>
          <w:rFonts w:asciiTheme="minorHAnsi" w:hAnsiTheme="minorHAnsi" w:cstheme="minorHAnsi"/>
        </w:rPr>
        <w:t xml:space="preserve"> 2 (Siemens) pour les analyseurs implantés au sein des laboratoires, pour la gestion</w:t>
      </w:r>
      <w:r w:rsidR="00F42395">
        <w:rPr>
          <w:rFonts w:asciiTheme="minorHAnsi" w:hAnsiTheme="minorHAnsi" w:cstheme="minorHAnsi"/>
        </w:rPr>
        <w:t>,</w:t>
      </w:r>
      <w:r w:rsidRPr="00206109">
        <w:rPr>
          <w:rFonts w:asciiTheme="minorHAnsi" w:hAnsiTheme="minorHAnsi" w:cstheme="minorHAnsi"/>
        </w:rPr>
        <w:t xml:space="preserve"> la remontée des contrôles de qualité</w:t>
      </w:r>
      <w:r w:rsidR="00F42395">
        <w:rPr>
          <w:rFonts w:asciiTheme="minorHAnsi" w:hAnsiTheme="minorHAnsi" w:cstheme="minorHAnsi"/>
        </w:rPr>
        <w:t xml:space="preserve"> et les résultats patients</w:t>
      </w:r>
      <w:r w:rsidRPr="00206109">
        <w:rPr>
          <w:rFonts w:asciiTheme="minorHAnsi" w:hAnsiTheme="minorHAnsi" w:cstheme="minorHAnsi"/>
        </w:rPr>
        <w:t xml:space="preserve"> ; les frais d'interface CGM (</w:t>
      </w:r>
      <w:proofErr w:type="spellStart"/>
      <w:r w:rsidRPr="00206109">
        <w:rPr>
          <w:rFonts w:asciiTheme="minorHAnsi" w:hAnsiTheme="minorHAnsi" w:cstheme="minorHAnsi"/>
        </w:rPr>
        <w:t>Molis</w:t>
      </w:r>
      <w:proofErr w:type="spellEnd"/>
      <w:r w:rsidRPr="00206109">
        <w:rPr>
          <w:rFonts w:asciiTheme="minorHAnsi" w:hAnsiTheme="minorHAnsi" w:cstheme="minorHAnsi"/>
        </w:rPr>
        <w:t>) ainsi que les frais d'interface Siemens (</w:t>
      </w:r>
      <w:proofErr w:type="spellStart"/>
      <w:r w:rsidRPr="00206109">
        <w:rPr>
          <w:rFonts w:asciiTheme="minorHAnsi" w:hAnsiTheme="minorHAnsi" w:cstheme="minorHAnsi"/>
        </w:rPr>
        <w:t>OneLink</w:t>
      </w:r>
      <w:proofErr w:type="spellEnd"/>
      <w:r w:rsidRPr="00206109">
        <w:rPr>
          <w:rFonts w:asciiTheme="minorHAnsi" w:hAnsiTheme="minorHAnsi" w:cstheme="minorHAnsi"/>
        </w:rPr>
        <w:t xml:space="preserve"> 2) sont à intégrer dans l'offre du candidat (devis joints) ;</w:t>
      </w:r>
    </w:p>
    <w:p w14:paraId="49858216"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Installation, mise en service, qualification : </w:t>
      </w:r>
      <w:r w:rsidRPr="00206109">
        <w:rPr>
          <w:rFonts w:asciiTheme="minorHAnsi" w:hAnsiTheme="minorHAnsi" w:cstheme="minorHAnsi"/>
        </w:rPr>
        <w:t>visite de pré-installation, transport, montage, raccordements (électrique, fluidique, informatique), qualification d’installation (QI) et qualification opérationnelle (QO) ;</w:t>
      </w:r>
    </w:p>
    <w:p w14:paraId="21DC5EDC" w14:textId="20D32CDB"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Formation : </w:t>
      </w:r>
      <w:r w:rsidRPr="00206109">
        <w:rPr>
          <w:rFonts w:asciiTheme="minorHAnsi" w:hAnsiTheme="minorHAnsi" w:cstheme="minorHAnsi"/>
        </w:rPr>
        <w:t xml:space="preserve">formation initiale et </w:t>
      </w:r>
      <w:r w:rsidR="00DC10EF" w:rsidRPr="00206109">
        <w:rPr>
          <w:rFonts w:asciiTheme="minorHAnsi" w:hAnsiTheme="minorHAnsi" w:cstheme="minorHAnsi"/>
        </w:rPr>
        <w:t xml:space="preserve">proposition de </w:t>
      </w:r>
      <w:r w:rsidRPr="00206109">
        <w:rPr>
          <w:rFonts w:asciiTheme="minorHAnsi" w:hAnsiTheme="minorHAnsi" w:cstheme="minorHAnsi"/>
        </w:rPr>
        <w:t>formation continue tout au long du marché de l’ensemble des personnels (biologistes, techniciens, soignants, administrateurs, référents) ; mise à disposition d’un module de formation et d’habilitation tracé via le middleware ;</w:t>
      </w:r>
    </w:p>
    <w:p w14:paraId="1E2FE1BC"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Maintenance tous risques : </w:t>
      </w:r>
      <w:r w:rsidRPr="00206109">
        <w:rPr>
          <w:rFonts w:asciiTheme="minorHAnsi" w:hAnsiTheme="minorHAnsi" w:cstheme="minorHAnsi"/>
        </w:rPr>
        <w:t>préventive et curative, pièces détachées, déplacements, hotline, télémaintenance via Wallix Bastion du CHU, mises à jour logicielles, gestion de l’obsolescence sur 8 ans ;</w:t>
      </w:r>
    </w:p>
    <w:p w14:paraId="2DF3AB89" w14:textId="45A1ABFC"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 xml:space="preserve">Accompagnement à l’accréditation : </w:t>
      </w:r>
      <w:r w:rsidRPr="00206109">
        <w:rPr>
          <w:rFonts w:asciiTheme="minorHAnsi" w:hAnsiTheme="minorHAnsi" w:cstheme="minorHAnsi"/>
        </w:rPr>
        <w:t xml:space="preserve">fourniture des dossiers techniques, </w:t>
      </w:r>
      <w:r w:rsidR="00B35938" w:rsidRPr="00206109">
        <w:rPr>
          <w:rFonts w:asciiTheme="minorHAnsi" w:hAnsiTheme="minorHAnsi" w:cstheme="minorHAnsi"/>
        </w:rPr>
        <w:t xml:space="preserve">assistance à la </w:t>
      </w:r>
      <w:r w:rsidRPr="00206109">
        <w:rPr>
          <w:rFonts w:asciiTheme="minorHAnsi" w:hAnsiTheme="minorHAnsi" w:cstheme="minorHAnsi"/>
        </w:rPr>
        <w:t>vérification de méthode</w:t>
      </w:r>
      <w:r w:rsidR="00B35938" w:rsidRPr="00206109">
        <w:rPr>
          <w:rFonts w:asciiTheme="minorHAnsi" w:hAnsiTheme="minorHAnsi" w:cstheme="minorHAnsi"/>
        </w:rPr>
        <w:t>s</w:t>
      </w:r>
      <w:r w:rsidRPr="00206109">
        <w:rPr>
          <w:rFonts w:asciiTheme="minorHAnsi" w:hAnsiTheme="minorHAnsi" w:cstheme="minorHAnsi"/>
        </w:rPr>
        <w:t xml:space="preserve"> (répétabilité, reproductibilité, comparaison de méthodes, contamination), conformité aux exigences SH FORM 43 du Cofrac, traçabilité métrologique ;</w:t>
      </w:r>
    </w:p>
    <w:p w14:paraId="76847A62" w14:textId="4701233C" w:rsidR="00AF3D42" w:rsidRPr="00206109" w:rsidRDefault="00AF3D42">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b/>
          <w:bCs/>
        </w:rPr>
        <w:t>Système de suivi de performances</w:t>
      </w:r>
      <w:r w:rsidRPr="00206109">
        <w:rPr>
          <w:rFonts w:asciiTheme="minorHAnsi" w:hAnsiTheme="minorHAnsi" w:cstheme="minorHAnsi"/>
        </w:rPr>
        <w:t xml:space="preserve"> pendant toute la durée du marché</w:t>
      </w:r>
      <w:r w:rsidR="002D6031">
        <w:rPr>
          <w:rFonts w:asciiTheme="minorHAnsi" w:hAnsiTheme="minorHAnsi" w:cstheme="minorHAnsi"/>
        </w:rPr>
        <w:t> ;</w:t>
      </w:r>
    </w:p>
    <w:p w14:paraId="702532F2" w14:textId="2CE86F17" w:rsidR="00DC10EF" w:rsidRPr="00206109" w:rsidRDefault="00DC10EF">
      <w:pPr>
        <w:pStyle w:val="Paragraphedeliste"/>
        <w:numPr>
          <w:ilvl w:val="0"/>
          <w:numId w:val="2"/>
        </w:numPr>
        <w:spacing w:after="80"/>
        <w:jc w:val="both"/>
        <w:rPr>
          <w:rFonts w:asciiTheme="minorHAnsi" w:hAnsiTheme="minorHAnsi" w:cstheme="minorHAnsi"/>
        </w:rPr>
      </w:pPr>
      <w:r w:rsidRPr="00206109">
        <w:rPr>
          <w:rStyle w:val="lev"/>
          <w:rFonts w:asciiTheme="minorHAnsi" w:hAnsiTheme="minorHAnsi" w:cstheme="minorHAnsi"/>
        </w:rPr>
        <w:t>Dépose du parc existant</w:t>
      </w:r>
      <w:r w:rsidRPr="00206109">
        <w:rPr>
          <w:rFonts w:asciiTheme="minorHAnsi" w:hAnsiTheme="minorHAnsi" w:cstheme="minorHAnsi"/>
        </w:rPr>
        <w:t xml:space="preserve"> : la désinstallation et l'évacuation des </w:t>
      </w:r>
      <w:proofErr w:type="spellStart"/>
      <w:r w:rsidRPr="00206109">
        <w:rPr>
          <w:rFonts w:asciiTheme="minorHAnsi" w:hAnsiTheme="minorHAnsi" w:cstheme="minorHAnsi"/>
        </w:rPr>
        <w:t>RAPIDPoint</w:t>
      </w:r>
      <w:proofErr w:type="spellEnd"/>
      <w:r w:rsidRPr="00206109">
        <w:rPr>
          <w:rFonts w:asciiTheme="minorHAnsi" w:hAnsiTheme="minorHAnsi" w:cstheme="minorHAnsi"/>
        </w:rPr>
        <w:t xml:space="preserve"> 500 seront assurées par Siemens dans le cadre de la fin du marché en cours (contrat MAD) ; le titulaire du présent marché devra coordonner son plan de déploiement avec ce calendrier de retrait, en proposant une stratégie de bascule — progressive ou simultanée — garantissant la continuité des soins ; il assurera par ailleurs la reprise des paramétrages (opérateurs, sites, interfaces) et pourra proposer une migration de l'historique des données du middleware sur une profondeur minimale de 24 mois ;</w:t>
      </w:r>
    </w:p>
    <w:p w14:paraId="6EDEA22B" w14:textId="5ED6AE5E" w:rsidR="00D06911" w:rsidRPr="003C4BBB" w:rsidRDefault="00DC10EF" w:rsidP="00D06911">
      <w:pPr>
        <w:pStyle w:val="Paragraphedeliste"/>
        <w:numPr>
          <w:ilvl w:val="0"/>
          <w:numId w:val="2"/>
        </w:numPr>
        <w:spacing w:after="80"/>
        <w:jc w:val="both"/>
        <w:rPr>
          <w:rFonts w:asciiTheme="minorHAnsi" w:hAnsiTheme="minorHAnsi" w:cstheme="minorHAnsi"/>
        </w:rPr>
      </w:pPr>
      <w:r w:rsidRPr="00206109">
        <w:rPr>
          <w:rStyle w:val="lev"/>
          <w:rFonts w:asciiTheme="minorHAnsi" w:hAnsiTheme="minorHAnsi" w:cstheme="minorHAnsi"/>
        </w:rPr>
        <w:t>Réversibilité</w:t>
      </w:r>
      <w:r w:rsidRPr="00206109">
        <w:rPr>
          <w:rFonts w:asciiTheme="minorHAnsi" w:hAnsiTheme="minorHAnsi" w:cstheme="minorHAnsi"/>
        </w:rPr>
        <w:t xml:space="preserve"> : à l'issue du marché, le titulaire fournira, sans coût additionnel, l'intégralité des données stockées dans le middleware (résultats, CIQ, opérateurs, événements) sous format ouvert et exploitable (CSV, XML ou base SQL documentée) ; à défaut, le titulaire garantira un accès en consultation à ces données pendant une durée minimale de 3 ans après la fin du marché, dans des conditions définies contractuellement ;</w:t>
      </w:r>
    </w:p>
    <w:p w14:paraId="1755B391"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9" w:name="_Toc232759452"/>
      <w:r w:rsidRPr="003C4BBB">
        <w:rPr>
          <w:rFonts w:asciiTheme="minorHAnsi" w:hAnsiTheme="minorHAnsi" w:cstheme="minorHAnsi"/>
          <w:color w:val="767171" w:themeColor="background2" w:themeShade="80"/>
          <w:sz w:val="22"/>
          <w:szCs w:val="22"/>
        </w:rPr>
        <w:t>2.5. Équipements neufs uniquement – Variantes interdites</w:t>
      </w:r>
      <w:bookmarkEnd w:id="9"/>
    </w:p>
    <w:p w14:paraId="4DD671DB"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Compte tenu de la durée du marché (8 ans) et de l’âge du parc existant en fin de marché actuel, le titulaire fournira obligatoirement un parc d’analyseurs neufs. Les équipements reconditionnés ou d’occasion ne sont pas acceptés. Aucune variante n’est autorisée.</w:t>
      </w:r>
    </w:p>
    <w:p w14:paraId="712AD423" w14:textId="77777777" w:rsidR="00DC10EF" w:rsidRPr="00206109" w:rsidRDefault="00DC10EF" w:rsidP="00DC10EF">
      <w:pPr>
        <w:pStyle w:val="font-claude-response-body"/>
        <w:rPr>
          <w:rFonts w:asciiTheme="minorHAnsi" w:hAnsiTheme="minorHAnsi" w:cstheme="minorHAnsi"/>
          <w:sz w:val="22"/>
          <w:szCs w:val="22"/>
        </w:rPr>
      </w:pPr>
      <w:r w:rsidRPr="00206109">
        <w:rPr>
          <w:rFonts w:asciiTheme="minorHAnsi" w:hAnsiTheme="minorHAnsi" w:cstheme="minorHAnsi"/>
          <w:sz w:val="22"/>
          <w:szCs w:val="22"/>
        </w:rPr>
        <w:lastRenderedPageBreak/>
        <w:t>Le titulaire pourra en revanche proposer les Prestations Supplémentaires Éventuelles (PSE) facultatives décrites au §2.8 :</w:t>
      </w:r>
    </w:p>
    <w:p w14:paraId="1319362F" w14:textId="2BFED907" w:rsidR="00DC10EF" w:rsidRPr="00206109" w:rsidRDefault="00DC10EF" w:rsidP="00DC10EF">
      <w:pPr>
        <w:pStyle w:val="font-claude-response-body"/>
        <w:numPr>
          <w:ilvl w:val="0"/>
          <w:numId w:val="3"/>
        </w:numPr>
        <w:rPr>
          <w:rFonts w:asciiTheme="minorHAnsi" w:hAnsiTheme="minorHAnsi" w:cstheme="minorHAnsi"/>
          <w:sz w:val="22"/>
          <w:szCs w:val="22"/>
        </w:rPr>
      </w:pPr>
      <w:r w:rsidRPr="00206109">
        <w:rPr>
          <w:rStyle w:val="lev"/>
          <w:rFonts w:asciiTheme="minorHAnsi" w:hAnsiTheme="minorHAnsi" w:cstheme="minorHAnsi"/>
          <w:sz w:val="22"/>
          <w:szCs w:val="22"/>
        </w:rPr>
        <w:t>PSE 1</w:t>
      </w:r>
      <w:r w:rsidRPr="00206109">
        <w:rPr>
          <w:rFonts w:asciiTheme="minorHAnsi" w:hAnsiTheme="minorHAnsi" w:cstheme="minorHAnsi"/>
          <w:sz w:val="22"/>
          <w:szCs w:val="22"/>
        </w:rPr>
        <w:t xml:space="preserve"> : disponibilité de l'analyse de </w:t>
      </w:r>
      <w:proofErr w:type="gramStart"/>
      <w:r w:rsidRPr="00206109">
        <w:rPr>
          <w:rFonts w:asciiTheme="minorHAnsi" w:hAnsiTheme="minorHAnsi" w:cstheme="minorHAnsi"/>
          <w:sz w:val="22"/>
          <w:szCs w:val="22"/>
        </w:rPr>
        <w:t>l'hémolyse;</w:t>
      </w:r>
      <w:proofErr w:type="gramEnd"/>
    </w:p>
    <w:p w14:paraId="4940591A" w14:textId="77777777" w:rsidR="00DC10EF" w:rsidRPr="00206109" w:rsidRDefault="00DC10EF" w:rsidP="00DC10EF">
      <w:pPr>
        <w:pStyle w:val="font-claude-response-body"/>
        <w:numPr>
          <w:ilvl w:val="0"/>
          <w:numId w:val="3"/>
        </w:numPr>
        <w:rPr>
          <w:rFonts w:asciiTheme="minorHAnsi" w:hAnsiTheme="minorHAnsi" w:cstheme="minorHAnsi"/>
          <w:sz w:val="22"/>
          <w:szCs w:val="22"/>
        </w:rPr>
      </w:pPr>
      <w:r w:rsidRPr="00206109">
        <w:rPr>
          <w:rStyle w:val="lev"/>
          <w:rFonts w:asciiTheme="minorHAnsi" w:hAnsiTheme="minorHAnsi" w:cstheme="minorHAnsi"/>
          <w:sz w:val="22"/>
          <w:szCs w:val="22"/>
        </w:rPr>
        <w:t>PSE 2</w:t>
      </w:r>
      <w:r w:rsidRPr="00206109">
        <w:rPr>
          <w:rFonts w:asciiTheme="minorHAnsi" w:hAnsiTheme="minorHAnsi" w:cstheme="minorHAnsi"/>
          <w:sz w:val="22"/>
          <w:szCs w:val="22"/>
        </w:rPr>
        <w:t xml:space="preserve"> : intégration de la créatinine sur les analyseurs du site de Lavaur.</w:t>
      </w:r>
    </w:p>
    <w:p w14:paraId="7EB3204D"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10" w:name="_Toc232759453"/>
      <w:r w:rsidRPr="003C4BBB">
        <w:rPr>
          <w:rFonts w:asciiTheme="minorHAnsi" w:hAnsiTheme="minorHAnsi" w:cstheme="minorHAnsi"/>
          <w:color w:val="767171" w:themeColor="background2" w:themeShade="80"/>
          <w:sz w:val="22"/>
          <w:szCs w:val="22"/>
        </w:rPr>
        <w:t>2.6. Description du parc et des services à équiper</w:t>
      </w:r>
      <w:bookmarkEnd w:id="10"/>
    </w:p>
    <w:p w14:paraId="21468495" w14:textId="4B840484" w:rsidR="00045698" w:rsidRPr="00206109" w:rsidRDefault="00DC10EF">
      <w:pPr>
        <w:spacing w:after="120"/>
        <w:jc w:val="both"/>
        <w:rPr>
          <w:rFonts w:asciiTheme="minorHAnsi" w:hAnsiTheme="minorHAnsi" w:cstheme="minorHAnsi"/>
        </w:rPr>
      </w:pPr>
      <w:bookmarkStart w:id="11" w:name="_Hlk230352981"/>
      <w:r w:rsidRPr="00206109">
        <w:rPr>
          <w:rFonts w:asciiTheme="minorHAnsi" w:hAnsiTheme="minorHAnsi" w:cstheme="minorHAnsi"/>
        </w:rPr>
        <w:t xml:space="preserve">Le parc actuel comporte des analyseurs de gaz du </w:t>
      </w:r>
      <w:r w:rsidR="00B27813" w:rsidRPr="00206109">
        <w:rPr>
          <w:rFonts w:asciiTheme="minorHAnsi" w:hAnsiTheme="minorHAnsi" w:cstheme="minorHAnsi"/>
        </w:rPr>
        <w:t>sang répartis</w:t>
      </w:r>
      <w:r w:rsidRPr="00206109">
        <w:rPr>
          <w:rFonts w:asciiTheme="minorHAnsi" w:hAnsiTheme="minorHAnsi" w:cstheme="minorHAnsi"/>
        </w:rPr>
        <w:t xml:space="preserve"> sur 4 sites et 14 services (cf. §2.6). Le candidat devra couvrir l'intégralité de ces sites et services d'implantation. Le nombre d'analyseurs à déployer par service est laissé à l'appréciation du candidat, qui dimensionnera son offre en fonction des volumes d'activité communiqués et des capacités analytiques des équipements proposés, de manière à garantir la continuité de service et la prise en charge du volume annuel d'environ 107 000 gazométries. Ce dimensionnement devra être justifié dans l'offre technique</w:t>
      </w:r>
      <w:r w:rsidR="00736876" w:rsidRPr="00206109">
        <w:rPr>
          <w:rFonts w:asciiTheme="minorHAnsi" w:hAnsiTheme="minorHAnsi" w:cstheme="minorHAnsi"/>
        </w:rPr>
        <w:t xml:space="preserve"> en intégrant l’existence de pics d’activité dans les services.</w:t>
      </w:r>
    </w:p>
    <w:tbl>
      <w:tblPr>
        <w:tblW w:w="8231" w:type="dxa"/>
        <w:jc w:val="center"/>
        <w:tblCellMar>
          <w:left w:w="0" w:type="dxa"/>
          <w:right w:w="0" w:type="dxa"/>
        </w:tblCellMar>
        <w:tblLook w:val="04A0" w:firstRow="1" w:lastRow="0" w:firstColumn="1" w:lastColumn="0" w:noHBand="0" w:noVBand="1"/>
      </w:tblPr>
      <w:tblGrid>
        <w:gridCol w:w="881"/>
        <w:gridCol w:w="2495"/>
        <w:gridCol w:w="1319"/>
        <w:gridCol w:w="806"/>
        <w:gridCol w:w="1365"/>
        <w:gridCol w:w="1365"/>
      </w:tblGrid>
      <w:tr w:rsidR="00045698" w:rsidRPr="00206109" w14:paraId="1DF89279" w14:textId="77777777" w:rsidTr="00DC10EF">
        <w:trPr>
          <w:tblHeader/>
          <w:jc w:val="center"/>
        </w:trPr>
        <w:tc>
          <w:tcPr>
            <w:tcW w:w="0" w:type="auto"/>
            <w:tcBorders>
              <w:top w:val="single" w:sz="6" w:space="0" w:color="CCCCCC"/>
              <w:left w:val="single" w:sz="6" w:space="0" w:color="CCCCCC"/>
              <w:bottom w:val="single" w:sz="6" w:space="0" w:color="CCCCCC"/>
              <w:right w:val="single" w:sz="6" w:space="0" w:color="CCCCCC"/>
            </w:tcBorders>
            <w:shd w:val="clear" w:color="auto" w:fill="1A3A5C"/>
            <w:tcMar>
              <w:top w:w="120" w:type="dxa"/>
              <w:left w:w="90" w:type="dxa"/>
              <w:bottom w:w="120" w:type="dxa"/>
              <w:right w:w="90" w:type="dxa"/>
            </w:tcMar>
            <w:vAlign w:val="center"/>
            <w:hideMark/>
          </w:tcPr>
          <w:p w14:paraId="1DFE5E44" w14:textId="77777777" w:rsidR="00045698" w:rsidRPr="003506AE" w:rsidRDefault="00045698" w:rsidP="00045698">
            <w:pPr>
              <w:jc w:val="center"/>
              <w:rPr>
                <w:rFonts w:asciiTheme="minorHAnsi" w:eastAsia="Times New Roman" w:hAnsiTheme="minorHAnsi" w:cstheme="minorHAnsi"/>
                <w:b/>
                <w:color w:val="FFFFFF"/>
                <w:sz w:val="20"/>
                <w:szCs w:val="18"/>
              </w:rPr>
            </w:pPr>
            <w:r w:rsidRPr="003506AE">
              <w:rPr>
                <w:rFonts w:asciiTheme="minorHAnsi" w:eastAsia="Times New Roman" w:hAnsiTheme="minorHAnsi" w:cstheme="minorHAnsi"/>
                <w:b/>
                <w:color w:val="FFFFFF"/>
                <w:sz w:val="20"/>
                <w:szCs w:val="18"/>
              </w:rPr>
              <w:t>Site</w:t>
            </w:r>
          </w:p>
        </w:tc>
        <w:tc>
          <w:tcPr>
            <w:tcW w:w="0" w:type="auto"/>
            <w:tcBorders>
              <w:top w:val="single" w:sz="6" w:space="0" w:color="CCCCCC"/>
              <w:left w:val="single" w:sz="6" w:space="0" w:color="CCCCCC"/>
              <w:bottom w:val="single" w:sz="6" w:space="0" w:color="CCCCCC"/>
              <w:right w:val="single" w:sz="6" w:space="0" w:color="CCCCCC"/>
            </w:tcBorders>
            <w:shd w:val="clear" w:color="auto" w:fill="1A3A5C"/>
            <w:tcMar>
              <w:top w:w="120" w:type="dxa"/>
              <w:left w:w="90" w:type="dxa"/>
              <w:bottom w:w="120" w:type="dxa"/>
              <w:right w:w="90" w:type="dxa"/>
            </w:tcMar>
            <w:vAlign w:val="center"/>
            <w:hideMark/>
          </w:tcPr>
          <w:p w14:paraId="42732BBF" w14:textId="77777777" w:rsidR="00045698" w:rsidRPr="003506AE" w:rsidRDefault="00045698" w:rsidP="00045698">
            <w:pPr>
              <w:jc w:val="center"/>
              <w:rPr>
                <w:rFonts w:asciiTheme="minorHAnsi" w:eastAsia="Times New Roman" w:hAnsiTheme="minorHAnsi" w:cstheme="minorHAnsi"/>
                <w:b/>
                <w:color w:val="FFFFFF"/>
                <w:sz w:val="20"/>
                <w:szCs w:val="18"/>
              </w:rPr>
            </w:pPr>
            <w:r w:rsidRPr="003506AE">
              <w:rPr>
                <w:rFonts w:asciiTheme="minorHAnsi" w:eastAsia="Times New Roman" w:hAnsiTheme="minorHAnsi" w:cstheme="minorHAnsi"/>
                <w:b/>
                <w:color w:val="FFFFFF"/>
                <w:sz w:val="20"/>
                <w:szCs w:val="18"/>
              </w:rPr>
              <w:t>Localisation / Service</w:t>
            </w:r>
          </w:p>
        </w:tc>
        <w:tc>
          <w:tcPr>
            <w:tcW w:w="0" w:type="auto"/>
            <w:tcBorders>
              <w:top w:val="single" w:sz="6" w:space="0" w:color="CCCCCC"/>
              <w:left w:val="single" w:sz="6" w:space="0" w:color="CCCCCC"/>
              <w:bottom w:val="single" w:sz="6" w:space="0" w:color="CCCCCC"/>
              <w:right w:val="single" w:sz="6" w:space="0" w:color="CCCCCC"/>
            </w:tcBorders>
            <w:shd w:val="clear" w:color="auto" w:fill="1A3A5C"/>
            <w:tcMar>
              <w:top w:w="120" w:type="dxa"/>
              <w:left w:w="90" w:type="dxa"/>
              <w:bottom w:w="120" w:type="dxa"/>
              <w:right w:w="90" w:type="dxa"/>
            </w:tcMar>
            <w:vAlign w:val="center"/>
            <w:hideMark/>
          </w:tcPr>
          <w:p w14:paraId="57621E72" w14:textId="77777777" w:rsidR="00045698" w:rsidRPr="003506AE" w:rsidRDefault="00045698" w:rsidP="00045698">
            <w:pPr>
              <w:jc w:val="center"/>
              <w:rPr>
                <w:rFonts w:asciiTheme="minorHAnsi" w:eastAsia="Times New Roman" w:hAnsiTheme="minorHAnsi" w:cstheme="minorHAnsi"/>
                <w:b/>
                <w:color w:val="FFFFFF"/>
                <w:sz w:val="20"/>
                <w:szCs w:val="18"/>
              </w:rPr>
            </w:pPr>
            <w:r w:rsidRPr="003506AE">
              <w:rPr>
                <w:rFonts w:asciiTheme="minorHAnsi" w:eastAsia="Times New Roman" w:hAnsiTheme="minorHAnsi" w:cstheme="minorHAnsi"/>
                <w:b/>
                <w:color w:val="FFFFFF"/>
                <w:sz w:val="20"/>
                <w:szCs w:val="18"/>
              </w:rPr>
              <w:t>Type</w:t>
            </w:r>
          </w:p>
        </w:tc>
        <w:tc>
          <w:tcPr>
            <w:tcW w:w="0" w:type="auto"/>
            <w:tcBorders>
              <w:top w:val="single" w:sz="6" w:space="0" w:color="CCCCCC"/>
              <w:left w:val="single" w:sz="6" w:space="0" w:color="CCCCCC"/>
              <w:bottom w:val="single" w:sz="6" w:space="0" w:color="CCCCCC"/>
              <w:right w:val="single" w:sz="6" w:space="0" w:color="CCCCCC"/>
            </w:tcBorders>
            <w:shd w:val="clear" w:color="auto" w:fill="1A3A5C"/>
            <w:tcMar>
              <w:top w:w="120" w:type="dxa"/>
              <w:left w:w="90" w:type="dxa"/>
              <w:bottom w:w="120" w:type="dxa"/>
              <w:right w:w="90" w:type="dxa"/>
            </w:tcMar>
            <w:vAlign w:val="center"/>
            <w:hideMark/>
          </w:tcPr>
          <w:p w14:paraId="53D6B956" w14:textId="77777777" w:rsidR="00045698" w:rsidRPr="003506AE" w:rsidRDefault="00045698" w:rsidP="00045698">
            <w:pPr>
              <w:jc w:val="center"/>
              <w:rPr>
                <w:rFonts w:asciiTheme="minorHAnsi" w:eastAsia="Times New Roman" w:hAnsiTheme="minorHAnsi" w:cstheme="minorHAnsi"/>
                <w:b/>
                <w:color w:val="FFFFFF"/>
                <w:sz w:val="20"/>
                <w:szCs w:val="18"/>
              </w:rPr>
            </w:pPr>
            <w:r w:rsidRPr="003506AE">
              <w:rPr>
                <w:rFonts w:asciiTheme="minorHAnsi" w:eastAsia="Times New Roman" w:hAnsiTheme="minorHAnsi" w:cstheme="minorHAnsi"/>
                <w:b/>
                <w:color w:val="FFFFFF"/>
                <w:sz w:val="20"/>
                <w:szCs w:val="18"/>
              </w:rPr>
              <w:t>Nb actuel</w:t>
            </w:r>
          </w:p>
        </w:tc>
        <w:tc>
          <w:tcPr>
            <w:tcW w:w="0" w:type="auto"/>
            <w:tcBorders>
              <w:top w:val="single" w:sz="6" w:space="0" w:color="CCCCCC"/>
              <w:left w:val="single" w:sz="6" w:space="0" w:color="CCCCCC"/>
              <w:bottom w:val="single" w:sz="6" w:space="0" w:color="CCCCCC"/>
              <w:right w:val="single" w:sz="6" w:space="0" w:color="CCCCCC"/>
            </w:tcBorders>
            <w:shd w:val="clear" w:color="auto" w:fill="1A3A5C"/>
            <w:tcMar>
              <w:top w:w="120" w:type="dxa"/>
              <w:left w:w="90" w:type="dxa"/>
              <w:bottom w:w="120" w:type="dxa"/>
              <w:right w:w="90" w:type="dxa"/>
            </w:tcMar>
            <w:vAlign w:val="center"/>
            <w:hideMark/>
          </w:tcPr>
          <w:p w14:paraId="6F91058F" w14:textId="77777777" w:rsidR="00045698" w:rsidRPr="003506AE" w:rsidRDefault="00045698" w:rsidP="00045698">
            <w:pPr>
              <w:jc w:val="center"/>
              <w:rPr>
                <w:rFonts w:asciiTheme="minorHAnsi" w:eastAsia="Times New Roman" w:hAnsiTheme="minorHAnsi" w:cstheme="minorHAnsi"/>
                <w:b/>
                <w:color w:val="FFFFFF"/>
                <w:sz w:val="20"/>
                <w:szCs w:val="18"/>
              </w:rPr>
            </w:pPr>
            <w:r w:rsidRPr="003506AE">
              <w:rPr>
                <w:rFonts w:asciiTheme="minorHAnsi" w:eastAsia="Times New Roman" w:hAnsiTheme="minorHAnsi" w:cstheme="minorHAnsi"/>
                <w:b/>
                <w:color w:val="FFFFFF"/>
                <w:sz w:val="20"/>
                <w:szCs w:val="18"/>
              </w:rPr>
              <w:t>Volume 2024 (nb actes)</w:t>
            </w:r>
          </w:p>
        </w:tc>
        <w:tc>
          <w:tcPr>
            <w:tcW w:w="0" w:type="auto"/>
            <w:tcBorders>
              <w:top w:val="single" w:sz="6" w:space="0" w:color="CCCCCC"/>
              <w:left w:val="single" w:sz="6" w:space="0" w:color="CCCCCC"/>
              <w:bottom w:val="single" w:sz="6" w:space="0" w:color="CCCCCC"/>
              <w:right w:val="single" w:sz="6" w:space="0" w:color="CCCCCC"/>
            </w:tcBorders>
            <w:shd w:val="clear" w:color="auto" w:fill="1A3A5C"/>
            <w:tcMar>
              <w:top w:w="120" w:type="dxa"/>
              <w:left w:w="90" w:type="dxa"/>
              <w:bottom w:w="120" w:type="dxa"/>
              <w:right w:w="90" w:type="dxa"/>
            </w:tcMar>
            <w:vAlign w:val="center"/>
            <w:hideMark/>
          </w:tcPr>
          <w:p w14:paraId="298F3FAD" w14:textId="77777777" w:rsidR="00045698" w:rsidRPr="003506AE" w:rsidRDefault="00045698" w:rsidP="00045698">
            <w:pPr>
              <w:jc w:val="center"/>
              <w:rPr>
                <w:rFonts w:asciiTheme="minorHAnsi" w:eastAsia="Times New Roman" w:hAnsiTheme="minorHAnsi" w:cstheme="minorHAnsi"/>
                <w:b/>
                <w:color w:val="FFFFFF"/>
                <w:sz w:val="20"/>
                <w:szCs w:val="18"/>
              </w:rPr>
            </w:pPr>
            <w:r w:rsidRPr="003506AE">
              <w:rPr>
                <w:rFonts w:asciiTheme="minorHAnsi" w:eastAsia="Times New Roman" w:hAnsiTheme="minorHAnsi" w:cstheme="minorHAnsi"/>
                <w:b/>
                <w:color w:val="FFFFFF"/>
                <w:sz w:val="20"/>
                <w:szCs w:val="18"/>
              </w:rPr>
              <w:t>Volume 2025 (nb actes)</w:t>
            </w:r>
          </w:p>
        </w:tc>
      </w:tr>
      <w:tr w:rsidR="00045698" w:rsidRPr="00206109" w14:paraId="2E8BEFD6"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417F4B6"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Rangueil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613D245"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Plateau Technique Automatisé (PTA)</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17666F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Laboratoire</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A864E1D"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D6F8C45"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25 587</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B6515D2"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18 390</w:t>
            </w:r>
          </w:p>
        </w:tc>
      </w:tr>
      <w:tr w:rsidR="00045698" w:rsidRPr="00206109" w14:paraId="3ACD7420"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97CB7E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Rangueil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0A8574F"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H3 Réanimation polyvalente</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52A6097"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70EF981"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4868E46"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10 165</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90CE70D"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10 517</w:t>
            </w:r>
          </w:p>
        </w:tc>
      </w:tr>
      <w:tr w:rsidR="00045698" w:rsidRPr="00206109" w14:paraId="4ED4C8B1"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6ECC544"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Rangueil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458B324"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H1 CCV – Réanimation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9DD6C95"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87440D6"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EE843B6"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9 957</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F7A5B3B"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11 107</w:t>
            </w:r>
          </w:p>
        </w:tc>
      </w:tr>
      <w:tr w:rsidR="00045698" w:rsidRPr="00206109" w14:paraId="07B0DC60"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4240B5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Rangueil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5D4B931"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H1 CCV – Bloc</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CD14E70"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4899CF4"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E572B50"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3 021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1255A67"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3 238</w:t>
            </w:r>
          </w:p>
        </w:tc>
      </w:tr>
      <w:tr w:rsidR="00045698" w:rsidRPr="00206109" w14:paraId="3D413F4D"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70306B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Rangueil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A24C0DE"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H3 SSPI 1er</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F07D53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86C3B94"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B3662E7"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2 367</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07CEBFE"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1 997</w:t>
            </w:r>
          </w:p>
        </w:tc>
      </w:tr>
      <w:tr w:rsidR="00045698" w:rsidRPr="00206109" w14:paraId="1971927D"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B263E3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Rangueil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52CDA1B"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H1 Urgences</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4B824C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8D10F1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73C3554"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2 041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BD6A0C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8 962</w:t>
            </w:r>
          </w:p>
        </w:tc>
      </w:tr>
      <w:tr w:rsidR="00045698" w:rsidRPr="00206109" w14:paraId="71961362"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50D8D91"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Purpan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3FCCA71"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Plateau Technique Automatisé (IFB)</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3EF37ED"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Laboratoire</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73F86DD"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B25B556"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4 176</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0AA710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3 859</w:t>
            </w:r>
          </w:p>
        </w:tc>
      </w:tr>
      <w:tr w:rsidR="00045698" w:rsidRPr="00206109" w14:paraId="0E5AB78D"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57296BB"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Purpan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80D4ECA"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Urgences-Réanimation Médecine (URM)</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1946077"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E4617FD"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213256B"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13 624</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38F51E9"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13 117</w:t>
            </w:r>
          </w:p>
        </w:tc>
      </w:tr>
      <w:tr w:rsidR="00045698" w:rsidRPr="00206109" w14:paraId="36982F90"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9404908"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Purpan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23E8336"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Hôpital des Enfants – Urgences</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33C7725"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7DB8512"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B8CCEFE"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8 528</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3EDBCBE"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7 809</w:t>
            </w:r>
          </w:p>
        </w:tc>
      </w:tr>
      <w:tr w:rsidR="00045698" w:rsidRPr="00206109" w14:paraId="694F6344"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7658B0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Purpan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D93F5C4"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Hôpital des Enfants – SSPI</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0485911"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C787D3F"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569A9C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7 694</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1A26972"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8 533</w:t>
            </w:r>
          </w:p>
        </w:tc>
      </w:tr>
      <w:tr w:rsidR="00045698" w:rsidRPr="00206109" w14:paraId="516CA649"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5A006F0"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Purpan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736F9DC"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Paule de Viguier – Bloc accouchement</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31C2A2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4B110C0"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7DC47F3"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8 891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8C129F2"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9 032</w:t>
            </w:r>
          </w:p>
        </w:tc>
      </w:tr>
      <w:tr w:rsidR="00045698" w:rsidRPr="00206109" w14:paraId="3DC0E501"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0341FD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Purpan</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AB6C628"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Réanimation neurochirurgicale (PPR)</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50DCF62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1003695"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03A9EB7"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4 253</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3E788E1"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4 421</w:t>
            </w:r>
          </w:p>
        </w:tc>
      </w:tr>
      <w:tr w:rsidR="00045698" w:rsidRPr="00206109" w14:paraId="3DF36A99"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C1E2A3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lastRenderedPageBreak/>
              <w:t>Larrey</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C471598"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Exploration Fonctionnelle Respiratoire (EFR)</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E141ADE"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2D828E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9A643B8"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3 259</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A80B1D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3 547</w:t>
            </w:r>
          </w:p>
        </w:tc>
      </w:tr>
      <w:tr w:rsidR="00045698" w:rsidRPr="00206109" w14:paraId="1D60979E"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E4D3258"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Larrey</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32912DBD"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Intensifs Pneumologie</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694885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Soins / Délocalisé</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FF49639"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0533BECF"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2 520</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2D2BC439"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3 028</w:t>
            </w:r>
          </w:p>
        </w:tc>
      </w:tr>
      <w:tr w:rsidR="00045698" w:rsidRPr="00206109" w14:paraId="682EAA18"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DA54BFD"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Lavaur</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6960ED3E" w14:textId="77777777" w:rsidR="00045698" w:rsidRPr="00206109" w:rsidRDefault="00045698" w:rsidP="00045698">
            <w:pP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Laboratoire Plateau Technique Polyvalent</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67A568A"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Laboratoire</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40EA5F28"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2</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7A515A8B"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1 490</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hideMark/>
          </w:tcPr>
          <w:p w14:paraId="1E0B7E9C" w14:textId="77777777" w:rsidR="00045698" w:rsidRPr="00206109" w:rsidRDefault="00045698" w:rsidP="00045698">
            <w:pPr>
              <w:jc w:val="center"/>
              <w:rPr>
                <w:rFonts w:asciiTheme="minorHAnsi" w:eastAsia="Times New Roman" w:hAnsiTheme="minorHAnsi" w:cstheme="minorHAnsi"/>
                <w:color w:val="141413"/>
                <w:sz w:val="20"/>
                <w:szCs w:val="20"/>
              </w:rPr>
            </w:pPr>
            <w:r w:rsidRPr="00206109">
              <w:rPr>
                <w:rFonts w:asciiTheme="minorHAnsi" w:eastAsia="Times New Roman" w:hAnsiTheme="minorHAnsi" w:cstheme="minorHAnsi"/>
                <w:color w:val="141413"/>
                <w:sz w:val="20"/>
                <w:szCs w:val="20"/>
              </w:rPr>
              <w:t>—</w:t>
            </w:r>
          </w:p>
        </w:tc>
      </w:tr>
      <w:tr w:rsidR="00045698" w:rsidRPr="00206109" w14:paraId="4A831183" w14:textId="77777777" w:rsidTr="00DC10EF">
        <w:trPr>
          <w:jc w:val="center"/>
        </w:trPr>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tcPr>
          <w:p w14:paraId="24BA0CD0" w14:textId="01BB9BB9" w:rsidR="00045698" w:rsidRPr="00206109" w:rsidRDefault="00045698" w:rsidP="00045698">
            <w:pPr>
              <w:jc w:val="center"/>
              <w:rPr>
                <w:rFonts w:asciiTheme="minorHAnsi" w:eastAsia="Times New Roman" w:hAnsiTheme="minorHAnsi" w:cstheme="minorHAnsi"/>
                <w:b/>
                <w:bCs/>
                <w:color w:val="141413"/>
                <w:sz w:val="20"/>
                <w:szCs w:val="20"/>
              </w:rPr>
            </w:pPr>
            <w:r w:rsidRPr="00206109">
              <w:rPr>
                <w:rFonts w:asciiTheme="minorHAnsi" w:eastAsia="Times New Roman" w:hAnsiTheme="minorHAnsi" w:cstheme="minorHAnsi"/>
                <w:b/>
                <w:bCs/>
                <w:color w:val="141413"/>
                <w:sz w:val="20"/>
                <w:szCs w:val="20"/>
              </w:rPr>
              <w:t>TOTAL</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tcPr>
          <w:p w14:paraId="108A52DE" w14:textId="77777777" w:rsidR="00045698" w:rsidRPr="00206109" w:rsidRDefault="00045698" w:rsidP="00045698">
            <w:pPr>
              <w:rPr>
                <w:rFonts w:asciiTheme="minorHAnsi" w:eastAsia="Times New Roman" w:hAnsiTheme="minorHAnsi" w:cstheme="minorHAnsi"/>
                <w:b/>
                <w:bCs/>
                <w:color w:val="141413"/>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tcPr>
          <w:p w14:paraId="2599D72E" w14:textId="77777777" w:rsidR="00045698" w:rsidRPr="00206109" w:rsidRDefault="00045698" w:rsidP="00045698">
            <w:pPr>
              <w:jc w:val="center"/>
              <w:rPr>
                <w:rFonts w:asciiTheme="minorHAnsi" w:eastAsia="Times New Roman" w:hAnsiTheme="minorHAnsi" w:cstheme="minorHAnsi"/>
                <w:b/>
                <w:bCs/>
                <w:color w:val="141413"/>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tcPr>
          <w:p w14:paraId="19E0D2F5" w14:textId="2C9DA38F" w:rsidR="00045698" w:rsidRPr="00206109" w:rsidRDefault="00045698" w:rsidP="00045698">
            <w:pPr>
              <w:rPr>
                <w:rFonts w:asciiTheme="minorHAnsi" w:eastAsia="Times New Roman" w:hAnsiTheme="minorHAnsi" w:cstheme="minorHAnsi"/>
                <w:b/>
                <w:bCs/>
                <w:sz w:val="20"/>
                <w:szCs w:val="20"/>
              </w:rPr>
            </w:pPr>
            <w:r w:rsidRPr="00206109">
              <w:rPr>
                <w:rFonts w:asciiTheme="minorHAnsi" w:hAnsiTheme="minorHAnsi" w:cstheme="minorHAnsi"/>
                <w:b/>
                <w:bCs/>
                <w:sz w:val="20"/>
                <w:szCs w:val="20"/>
              </w:rPr>
              <w:t>20</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tcPr>
          <w:p w14:paraId="6109D346" w14:textId="58A2AAF8" w:rsidR="00045698" w:rsidRPr="00206109" w:rsidRDefault="00045698" w:rsidP="00045698">
            <w:pPr>
              <w:jc w:val="center"/>
              <w:rPr>
                <w:rFonts w:asciiTheme="minorHAnsi" w:eastAsia="Times New Roman" w:hAnsiTheme="minorHAnsi" w:cstheme="minorHAnsi"/>
                <w:b/>
                <w:bCs/>
                <w:sz w:val="20"/>
                <w:szCs w:val="20"/>
              </w:rPr>
            </w:pPr>
            <w:r w:rsidRPr="00206109">
              <w:rPr>
                <w:rFonts w:asciiTheme="minorHAnsi" w:hAnsiTheme="minorHAnsi" w:cstheme="minorHAnsi"/>
                <w:b/>
                <w:bCs/>
                <w:sz w:val="20"/>
                <w:szCs w:val="20"/>
              </w:rPr>
              <w:t>107573</w:t>
            </w:r>
          </w:p>
        </w:tc>
        <w:tc>
          <w:tcPr>
            <w:tcW w:w="0" w:type="auto"/>
            <w:tcBorders>
              <w:top w:val="single" w:sz="6" w:space="0" w:color="CCCCCC"/>
              <w:left w:val="single" w:sz="6" w:space="0" w:color="CCCCCC"/>
              <w:bottom w:val="single" w:sz="6" w:space="0" w:color="CCCCCC"/>
              <w:right w:val="single" w:sz="6" w:space="0" w:color="CCCCCC"/>
            </w:tcBorders>
            <w:tcMar>
              <w:top w:w="105" w:type="dxa"/>
              <w:left w:w="90" w:type="dxa"/>
              <w:bottom w:w="105" w:type="dxa"/>
              <w:right w:w="90" w:type="dxa"/>
            </w:tcMar>
            <w:vAlign w:val="center"/>
          </w:tcPr>
          <w:p w14:paraId="50FB0F34" w14:textId="1F1E480F" w:rsidR="00045698" w:rsidRPr="00206109" w:rsidRDefault="00045698" w:rsidP="00045698">
            <w:pPr>
              <w:jc w:val="center"/>
              <w:rPr>
                <w:rFonts w:asciiTheme="minorHAnsi" w:eastAsia="Times New Roman" w:hAnsiTheme="minorHAnsi" w:cstheme="minorHAnsi"/>
                <w:b/>
                <w:bCs/>
                <w:sz w:val="20"/>
                <w:szCs w:val="20"/>
              </w:rPr>
            </w:pPr>
            <w:r w:rsidRPr="00206109">
              <w:rPr>
                <w:rFonts w:asciiTheme="minorHAnsi" w:hAnsiTheme="minorHAnsi" w:cstheme="minorHAnsi"/>
                <w:b/>
                <w:bCs/>
                <w:sz w:val="20"/>
                <w:szCs w:val="20"/>
              </w:rPr>
              <w:t>107 557</w:t>
            </w:r>
          </w:p>
        </w:tc>
      </w:tr>
    </w:tbl>
    <w:p w14:paraId="630421F2" w14:textId="77777777" w:rsidR="00045698" w:rsidRPr="00206109" w:rsidRDefault="00045698">
      <w:pPr>
        <w:spacing w:after="120"/>
        <w:jc w:val="both"/>
        <w:rPr>
          <w:rFonts w:asciiTheme="minorHAnsi" w:hAnsiTheme="minorHAnsi" w:cstheme="minorHAnsi"/>
        </w:rPr>
      </w:pPr>
    </w:p>
    <w:p w14:paraId="24F543C5" w14:textId="2088BDB3" w:rsidR="000D73E1" w:rsidRPr="00206109" w:rsidRDefault="000D73E1">
      <w:pPr>
        <w:spacing w:after="120"/>
        <w:jc w:val="both"/>
        <w:rPr>
          <w:rFonts w:asciiTheme="minorHAnsi" w:hAnsiTheme="minorHAnsi" w:cstheme="minorHAnsi"/>
        </w:rPr>
      </w:pPr>
      <w:r w:rsidRPr="00206109">
        <w:rPr>
          <w:rFonts w:asciiTheme="minorHAnsi" w:hAnsiTheme="minorHAnsi" w:cstheme="minorHAnsi"/>
        </w:rPr>
        <w:t>NB :</w:t>
      </w:r>
    </w:p>
    <w:p w14:paraId="38E23F04" w14:textId="2547AFC7" w:rsidR="000D73E1" w:rsidRPr="00206109" w:rsidRDefault="000D73E1" w:rsidP="000D73E1">
      <w:pPr>
        <w:pStyle w:val="Paragraphedeliste"/>
        <w:numPr>
          <w:ilvl w:val="0"/>
          <w:numId w:val="23"/>
        </w:numPr>
        <w:spacing w:after="120"/>
        <w:jc w:val="both"/>
        <w:rPr>
          <w:rFonts w:asciiTheme="minorHAnsi" w:hAnsiTheme="minorHAnsi" w:cstheme="minorHAnsi"/>
        </w:rPr>
      </w:pPr>
      <w:r w:rsidRPr="00206109">
        <w:rPr>
          <w:rFonts w:asciiTheme="minorHAnsi" w:hAnsiTheme="minorHAnsi" w:cstheme="minorHAnsi"/>
        </w:rPr>
        <w:t>La baisse d’activité des équipements de laboratoire de Rangueil est dû au transfert d’un équipement du laboratoire vers le service des urgences,</w:t>
      </w:r>
    </w:p>
    <w:p w14:paraId="4A2F298D" w14:textId="0D6FD165" w:rsidR="000D73E1" w:rsidRPr="00206109" w:rsidRDefault="000D73E1" w:rsidP="00596930">
      <w:pPr>
        <w:pStyle w:val="Paragraphedeliste"/>
        <w:numPr>
          <w:ilvl w:val="0"/>
          <w:numId w:val="23"/>
        </w:numPr>
        <w:spacing w:after="120"/>
        <w:jc w:val="both"/>
        <w:rPr>
          <w:rFonts w:asciiTheme="minorHAnsi" w:hAnsiTheme="minorHAnsi" w:cstheme="minorHAnsi"/>
        </w:rPr>
      </w:pPr>
      <w:r w:rsidRPr="00206109">
        <w:rPr>
          <w:rFonts w:asciiTheme="minorHAnsi" w:hAnsiTheme="minorHAnsi" w:cstheme="minorHAnsi"/>
        </w:rPr>
        <w:t>L’augmentation d’activité aux urgences Rangueil H1 est le corollaire de ce transfert.</w:t>
      </w:r>
    </w:p>
    <w:bookmarkEnd w:id="11"/>
    <w:p w14:paraId="6728B342" w14:textId="2DB52602" w:rsidR="002D6031" w:rsidRPr="00206109" w:rsidRDefault="00964243">
      <w:pPr>
        <w:spacing w:before="200" w:after="120"/>
        <w:rPr>
          <w:rFonts w:asciiTheme="minorHAnsi" w:hAnsiTheme="minorHAnsi" w:cstheme="minorHAnsi"/>
        </w:rPr>
      </w:pPr>
      <w:r w:rsidRPr="00206109">
        <w:rPr>
          <w:rFonts w:asciiTheme="minorHAnsi" w:hAnsiTheme="minorHAnsi" w:cstheme="minorHAnsi"/>
        </w:rPr>
        <w:t xml:space="preserve"> </w:t>
      </w:r>
    </w:p>
    <w:p w14:paraId="110C614F" w14:textId="79046FD7" w:rsidR="0086323F" w:rsidRPr="00206109" w:rsidRDefault="00964243">
      <w:pPr>
        <w:spacing w:after="120"/>
        <w:jc w:val="both"/>
        <w:rPr>
          <w:rFonts w:asciiTheme="minorHAnsi" w:hAnsiTheme="minorHAnsi" w:cstheme="minorHAnsi"/>
        </w:rPr>
      </w:pPr>
      <w:bookmarkStart w:id="12" w:name="_Hlk230352990"/>
      <w:r w:rsidRPr="00206109">
        <w:rPr>
          <w:rFonts w:asciiTheme="minorHAnsi" w:hAnsiTheme="minorHAnsi" w:cstheme="minorHAnsi"/>
        </w:rPr>
        <w:t xml:space="preserve">Le middleware fourni assurera également le pilotage et la centralisation des </w:t>
      </w:r>
      <w:r w:rsidR="00F91310" w:rsidRPr="00206109">
        <w:rPr>
          <w:rFonts w:asciiTheme="minorHAnsi" w:hAnsiTheme="minorHAnsi" w:cstheme="minorHAnsi"/>
        </w:rPr>
        <w:t>analyseurs</w:t>
      </w:r>
      <w:r w:rsidRPr="00206109">
        <w:rPr>
          <w:rFonts w:asciiTheme="minorHAnsi" w:hAnsiTheme="minorHAnsi" w:cstheme="minorHAnsi"/>
        </w:rPr>
        <w:t xml:space="preserve"> tiers de biologie délocalisée actuellement connectés au </w:t>
      </w:r>
      <w:proofErr w:type="spellStart"/>
      <w:r w:rsidRPr="00206109">
        <w:rPr>
          <w:rFonts w:asciiTheme="minorHAnsi" w:hAnsiTheme="minorHAnsi" w:cstheme="minorHAnsi"/>
        </w:rPr>
        <w:t>POCcelerator</w:t>
      </w:r>
      <w:proofErr w:type="spellEnd"/>
      <w:r w:rsidRPr="00206109">
        <w:rPr>
          <w:rFonts w:asciiTheme="minorHAnsi" w:hAnsiTheme="minorHAnsi" w:cstheme="minorHAnsi"/>
        </w:rPr>
        <w:t xml:space="preserve"> :</w:t>
      </w:r>
    </w:p>
    <w:tbl>
      <w:tblPr>
        <w:tblW w:w="9000" w:type="dxa"/>
        <w:tblCellMar>
          <w:left w:w="0" w:type="dxa"/>
          <w:right w:w="0" w:type="dxa"/>
        </w:tblCellMar>
        <w:tblLook w:val="04A0" w:firstRow="1" w:lastRow="0" w:firstColumn="1" w:lastColumn="0" w:noHBand="0" w:noVBand="1"/>
      </w:tblPr>
      <w:tblGrid>
        <w:gridCol w:w="3000"/>
        <w:gridCol w:w="2000"/>
        <w:gridCol w:w="1500"/>
        <w:gridCol w:w="2500"/>
      </w:tblGrid>
      <w:tr w:rsidR="003A6AFC" w:rsidRPr="00206109" w14:paraId="25256A26" w14:textId="77777777" w:rsidTr="003A6AFC">
        <w:trPr>
          <w:tblHeader/>
        </w:trPr>
        <w:tc>
          <w:tcPr>
            <w:tcW w:w="3000" w:type="dxa"/>
            <w:tcBorders>
              <w:top w:val="single" w:sz="8" w:space="0" w:color="BFBFBF"/>
              <w:left w:val="single" w:sz="8" w:space="0" w:color="BFBFBF"/>
              <w:bottom w:val="single" w:sz="8" w:space="0" w:color="BFBFBF"/>
              <w:right w:val="single" w:sz="8" w:space="0" w:color="BFBFBF"/>
            </w:tcBorders>
            <w:shd w:val="clear" w:color="auto" w:fill="1F4E79"/>
            <w:tcMar>
              <w:top w:w="80" w:type="dxa"/>
              <w:left w:w="120" w:type="dxa"/>
              <w:bottom w:w="80" w:type="dxa"/>
              <w:right w:w="120" w:type="dxa"/>
            </w:tcMar>
            <w:vAlign w:val="center"/>
            <w:hideMark/>
          </w:tcPr>
          <w:bookmarkEnd w:id="12"/>
          <w:p w14:paraId="01586539"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Désignation</w:t>
            </w:r>
          </w:p>
        </w:tc>
        <w:tc>
          <w:tcPr>
            <w:tcW w:w="2000" w:type="dxa"/>
            <w:tcBorders>
              <w:top w:val="single" w:sz="8" w:space="0" w:color="BFBFBF"/>
              <w:left w:val="nil"/>
              <w:bottom w:val="single" w:sz="8" w:space="0" w:color="BFBFBF"/>
              <w:right w:val="single" w:sz="8" w:space="0" w:color="BFBFBF"/>
            </w:tcBorders>
            <w:shd w:val="clear" w:color="auto" w:fill="1F4E79"/>
            <w:tcMar>
              <w:top w:w="80" w:type="dxa"/>
              <w:left w:w="120" w:type="dxa"/>
              <w:bottom w:w="80" w:type="dxa"/>
              <w:right w:w="120" w:type="dxa"/>
            </w:tcMar>
            <w:vAlign w:val="center"/>
            <w:hideMark/>
          </w:tcPr>
          <w:p w14:paraId="372FFA6C"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Marque</w:t>
            </w:r>
          </w:p>
        </w:tc>
        <w:tc>
          <w:tcPr>
            <w:tcW w:w="1500" w:type="dxa"/>
            <w:tcBorders>
              <w:top w:val="single" w:sz="8" w:space="0" w:color="BFBFBF"/>
              <w:left w:val="nil"/>
              <w:bottom w:val="single" w:sz="8" w:space="0" w:color="BFBFBF"/>
              <w:right w:val="single" w:sz="8" w:space="0" w:color="BFBFBF"/>
            </w:tcBorders>
            <w:shd w:val="clear" w:color="auto" w:fill="1F4E79"/>
            <w:tcMar>
              <w:top w:w="80" w:type="dxa"/>
              <w:left w:w="120" w:type="dxa"/>
              <w:bottom w:w="80" w:type="dxa"/>
              <w:right w:w="120" w:type="dxa"/>
            </w:tcMar>
            <w:vAlign w:val="center"/>
            <w:hideMark/>
          </w:tcPr>
          <w:p w14:paraId="46A6DC59"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Quantité</w:t>
            </w:r>
          </w:p>
        </w:tc>
        <w:tc>
          <w:tcPr>
            <w:tcW w:w="2500" w:type="dxa"/>
            <w:tcBorders>
              <w:top w:val="single" w:sz="8" w:space="0" w:color="BFBFBF"/>
              <w:left w:val="nil"/>
              <w:bottom w:val="single" w:sz="8" w:space="0" w:color="BFBFBF"/>
              <w:right w:val="single" w:sz="8" w:space="0" w:color="BFBFBF"/>
            </w:tcBorders>
            <w:shd w:val="clear" w:color="auto" w:fill="1F4E79"/>
            <w:tcMar>
              <w:top w:w="80" w:type="dxa"/>
              <w:left w:w="120" w:type="dxa"/>
              <w:bottom w:w="80" w:type="dxa"/>
              <w:right w:w="120" w:type="dxa"/>
            </w:tcMar>
            <w:vAlign w:val="center"/>
            <w:hideMark/>
          </w:tcPr>
          <w:p w14:paraId="0A6022D8"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Usage</w:t>
            </w:r>
          </w:p>
        </w:tc>
      </w:tr>
      <w:tr w:rsidR="003A6AFC" w:rsidRPr="00206109" w14:paraId="432C564A"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2765F7B1"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Atellica</w:t>
            </w:r>
            <w:proofErr w:type="spellEnd"/>
            <w:r w:rsidRPr="00810066">
              <w:rPr>
                <w:rFonts w:asciiTheme="minorHAnsi" w:hAnsiTheme="minorHAnsi" w:cstheme="minorHAnsi"/>
              </w:rPr>
              <w:t xml:space="preserve"> DCA</w:t>
            </w:r>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0DDC0A82" w14:textId="77777777" w:rsidR="003A6AFC" w:rsidRPr="00810066" w:rsidRDefault="003A6AFC">
            <w:pPr>
              <w:rPr>
                <w:rFonts w:asciiTheme="minorHAnsi" w:hAnsiTheme="minorHAnsi" w:cstheme="minorHAnsi"/>
              </w:rPr>
            </w:pPr>
            <w:r w:rsidRPr="00810066">
              <w:rPr>
                <w:rFonts w:asciiTheme="minorHAnsi" w:hAnsiTheme="minorHAnsi" w:cstheme="minorHAnsi"/>
              </w:rPr>
              <w:t>Siemens</w:t>
            </w:r>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4D8BE276" w14:textId="77777777" w:rsidR="003A6AFC" w:rsidRPr="00810066" w:rsidRDefault="003A6AFC">
            <w:pPr>
              <w:rPr>
                <w:rFonts w:asciiTheme="minorHAnsi" w:hAnsiTheme="minorHAnsi" w:cstheme="minorHAnsi"/>
              </w:rPr>
            </w:pPr>
            <w:r w:rsidRPr="00810066">
              <w:rPr>
                <w:rFonts w:asciiTheme="minorHAnsi" w:hAnsiTheme="minorHAnsi" w:cstheme="minorHAnsi"/>
              </w:rPr>
              <w:t>4 (1 back-up)</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0A7B9C6A" w14:textId="77777777" w:rsidR="003A6AFC" w:rsidRPr="00810066" w:rsidRDefault="003A6AFC">
            <w:pPr>
              <w:rPr>
                <w:rFonts w:asciiTheme="minorHAnsi" w:hAnsiTheme="minorHAnsi" w:cstheme="minorHAnsi"/>
              </w:rPr>
            </w:pPr>
            <w:r w:rsidRPr="00810066">
              <w:rPr>
                <w:rFonts w:asciiTheme="minorHAnsi" w:hAnsiTheme="minorHAnsi" w:cstheme="minorHAnsi"/>
              </w:rPr>
              <w:t>Hémoglobine glyquée (HbA1c)</w:t>
            </w:r>
          </w:p>
        </w:tc>
      </w:tr>
      <w:tr w:rsidR="003A6AFC" w:rsidRPr="00206109" w14:paraId="0752EEF3"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16F72F2D"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StatStrip</w:t>
            </w:r>
            <w:proofErr w:type="spellEnd"/>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3D9801B" w14:textId="77777777" w:rsidR="003A6AFC" w:rsidRPr="00810066" w:rsidRDefault="003A6AFC">
            <w:pPr>
              <w:rPr>
                <w:rFonts w:asciiTheme="minorHAnsi" w:hAnsiTheme="minorHAnsi" w:cstheme="minorHAnsi"/>
              </w:rPr>
            </w:pPr>
            <w:r w:rsidRPr="00810066">
              <w:rPr>
                <w:rFonts w:asciiTheme="minorHAnsi" w:hAnsiTheme="minorHAnsi" w:cstheme="minorHAnsi"/>
              </w:rPr>
              <w:t>Nova Biomedical</w:t>
            </w:r>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6A144C78" w14:textId="77777777" w:rsidR="003A6AFC" w:rsidRPr="00810066" w:rsidRDefault="003A6AFC">
            <w:pPr>
              <w:rPr>
                <w:rFonts w:asciiTheme="minorHAnsi" w:hAnsiTheme="minorHAnsi" w:cstheme="minorHAnsi"/>
              </w:rPr>
            </w:pPr>
            <w:r w:rsidRPr="00810066">
              <w:rPr>
                <w:rFonts w:asciiTheme="minorHAnsi" w:hAnsiTheme="minorHAnsi" w:cstheme="minorHAnsi"/>
              </w:rPr>
              <w:t>2</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7C68E6F" w14:textId="77777777" w:rsidR="003A6AFC" w:rsidRPr="00810066" w:rsidRDefault="003A6AFC">
            <w:pPr>
              <w:rPr>
                <w:rFonts w:asciiTheme="minorHAnsi" w:hAnsiTheme="minorHAnsi" w:cstheme="minorHAnsi"/>
              </w:rPr>
            </w:pPr>
            <w:r w:rsidRPr="00810066">
              <w:rPr>
                <w:rFonts w:asciiTheme="minorHAnsi" w:hAnsiTheme="minorHAnsi" w:cstheme="minorHAnsi"/>
              </w:rPr>
              <w:t>Lactate délocalisé</w:t>
            </w:r>
          </w:p>
        </w:tc>
      </w:tr>
      <w:tr w:rsidR="003A6AFC" w:rsidRPr="00206109" w14:paraId="3D67C7DC"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13A5A3B7"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GeneXpert</w:t>
            </w:r>
            <w:proofErr w:type="spellEnd"/>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5486693D"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Cepheid</w:t>
            </w:r>
            <w:proofErr w:type="spellEnd"/>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4380271F" w14:textId="77777777" w:rsidR="003A6AFC" w:rsidRPr="00810066" w:rsidRDefault="003A6AFC">
            <w:pPr>
              <w:rPr>
                <w:rFonts w:asciiTheme="minorHAnsi" w:hAnsiTheme="minorHAnsi" w:cstheme="minorHAnsi"/>
              </w:rPr>
            </w:pPr>
            <w:r w:rsidRPr="00810066">
              <w:rPr>
                <w:rFonts w:asciiTheme="minorHAnsi" w:hAnsiTheme="minorHAnsi" w:cstheme="minorHAnsi"/>
              </w:rPr>
              <w:t>1</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669A190" w14:textId="77777777" w:rsidR="003A6AFC" w:rsidRPr="00810066" w:rsidRDefault="003A6AFC">
            <w:pPr>
              <w:rPr>
                <w:rFonts w:asciiTheme="minorHAnsi" w:hAnsiTheme="minorHAnsi" w:cstheme="minorHAnsi"/>
              </w:rPr>
            </w:pPr>
            <w:r w:rsidRPr="00810066">
              <w:rPr>
                <w:rFonts w:asciiTheme="minorHAnsi" w:hAnsiTheme="minorHAnsi" w:cstheme="minorHAnsi"/>
              </w:rPr>
              <w:t>PCR Streptocoque – Maternité</w:t>
            </w:r>
          </w:p>
        </w:tc>
      </w:tr>
      <w:tr w:rsidR="003A6AFC" w:rsidRPr="00206109" w14:paraId="0E9E332E"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516B25C0"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Afinion</w:t>
            </w:r>
            <w:proofErr w:type="spellEnd"/>
            <w:r w:rsidRPr="00810066">
              <w:rPr>
                <w:rFonts w:asciiTheme="minorHAnsi" w:hAnsiTheme="minorHAnsi" w:cstheme="minorHAnsi"/>
              </w:rPr>
              <w:t xml:space="preserve"> 2</w:t>
            </w:r>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169426FF" w14:textId="77777777" w:rsidR="003A6AFC" w:rsidRPr="00810066" w:rsidRDefault="003A6AFC">
            <w:pPr>
              <w:rPr>
                <w:rFonts w:asciiTheme="minorHAnsi" w:hAnsiTheme="minorHAnsi" w:cstheme="minorHAnsi"/>
              </w:rPr>
            </w:pPr>
            <w:r w:rsidRPr="00810066">
              <w:rPr>
                <w:rFonts w:asciiTheme="minorHAnsi" w:hAnsiTheme="minorHAnsi" w:cstheme="minorHAnsi"/>
              </w:rPr>
              <w:t>Abbott</w:t>
            </w:r>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4CA8BBDC" w14:textId="77777777" w:rsidR="003A6AFC" w:rsidRPr="00810066" w:rsidRDefault="003A6AFC">
            <w:pPr>
              <w:rPr>
                <w:rFonts w:asciiTheme="minorHAnsi" w:hAnsiTheme="minorHAnsi" w:cstheme="minorHAnsi"/>
              </w:rPr>
            </w:pPr>
            <w:r w:rsidRPr="00810066">
              <w:rPr>
                <w:rFonts w:asciiTheme="minorHAnsi" w:hAnsiTheme="minorHAnsi" w:cstheme="minorHAnsi"/>
              </w:rPr>
              <w:t>6</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003BBBBF" w14:textId="77777777" w:rsidR="003A6AFC" w:rsidRPr="00810066" w:rsidRDefault="003A6AFC">
            <w:pPr>
              <w:rPr>
                <w:rFonts w:asciiTheme="minorHAnsi" w:hAnsiTheme="minorHAnsi" w:cstheme="minorHAnsi"/>
              </w:rPr>
            </w:pPr>
            <w:r w:rsidRPr="00810066">
              <w:rPr>
                <w:rFonts w:asciiTheme="minorHAnsi" w:hAnsiTheme="minorHAnsi" w:cstheme="minorHAnsi"/>
              </w:rPr>
              <w:t>CRP délocalisée</w:t>
            </w:r>
          </w:p>
        </w:tc>
      </w:tr>
      <w:tr w:rsidR="003A6AFC" w:rsidRPr="00206109" w14:paraId="0522AE4C"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661E264E" w14:textId="77777777" w:rsidR="003A6AFC" w:rsidRPr="00810066" w:rsidRDefault="003A6AFC">
            <w:pPr>
              <w:rPr>
                <w:rFonts w:asciiTheme="minorHAnsi" w:hAnsiTheme="minorHAnsi" w:cstheme="minorHAnsi"/>
              </w:rPr>
            </w:pPr>
            <w:r w:rsidRPr="00810066">
              <w:rPr>
                <w:rFonts w:asciiTheme="minorHAnsi" w:hAnsiTheme="minorHAnsi" w:cstheme="minorHAnsi"/>
              </w:rPr>
              <w:t xml:space="preserve">ID </w:t>
            </w:r>
            <w:proofErr w:type="spellStart"/>
            <w:r w:rsidRPr="00810066">
              <w:rPr>
                <w:rFonts w:asciiTheme="minorHAnsi" w:hAnsiTheme="minorHAnsi" w:cstheme="minorHAnsi"/>
              </w:rPr>
              <w:t>Now</w:t>
            </w:r>
            <w:proofErr w:type="spellEnd"/>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DB06831" w14:textId="77777777" w:rsidR="003A6AFC" w:rsidRPr="00810066" w:rsidRDefault="003A6AFC">
            <w:pPr>
              <w:rPr>
                <w:rFonts w:asciiTheme="minorHAnsi" w:hAnsiTheme="minorHAnsi" w:cstheme="minorHAnsi"/>
              </w:rPr>
            </w:pPr>
            <w:r w:rsidRPr="00810066">
              <w:rPr>
                <w:rFonts w:asciiTheme="minorHAnsi" w:hAnsiTheme="minorHAnsi" w:cstheme="minorHAnsi"/>
              </w:rPr>
              <w:t>Abbott</w:t>
            </w:r>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6399F465" w14:textId="77777777" w:rsidR="003A6AFC" w:rsidRPr="00810066" w:rsidRDefault="003A6AFC">
            <w:pPr>
              <w:rPr>
                <w:rFonts w:asciiTheme="minorHAnsi" w:hAnsiTheme="minorHAnsi" w:cstheme="minorHAnsi"/>
              </w:rPr>
            </w:pPr>
            <w:r w:rsidRPr="00810066">
              <w:rPr>
                <w:rFonts w:asciiTheme="minorHAnsi" w:hAnsiTheme="minorHAnsi" w:cstheme="minorHAnsi"/>
              </w:rPr>
              <w:t>9 (1 back-up)</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441A34E" w14:textId="77777777" w:rsidR="003A6AFC" w:rsidRPr="00810066" w:rsidRDefault="003A6AFC">
            <w:pPr>
              <w:rPr>
                <w:rFonts w:asciiTheme="minorHAnsi" w:hAnsiTheme="minorHAnsi" w:cstheme="minorHAnsi"/>
              </w:rPr>
            </w:pPr>
            <w:r w:rsidRPr="00810066">
              <w:rPr>
                <w:rFonts w:asciiTheme="minorHAnsi" w:hAnsiTheme="minorHAnsi" w:cstheme="minorHAnsi"/>
              </w:rPr>
              <w:t>PCR (Influenza, SARS-CoV-2)</w:t>
            </w:r>
          </w:p>
        </w:tc>
      </w:tr>
      <w:tr w:rsidR="003A6AFC" w:rsidRPr="00206109" w14:paraId="1951FB3F"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1E854D9D"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Hemochron</w:t>
            </w:r>
            <w:proofErr w:type="spellEnd"/>
            <w:r w:rsidRPr="00810066">
              <w:rPr>
                <w:rFonts w:asciiTheme="minorHAnsi" w:hAnsiTheme="minorHAnsi" w:cstheme="minorHAnsi"/>
              </w:rPr>
              <w:t xml:space="preserve"> Signature Elite</w:t>
            </w:r>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7AFF35C1"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Werfen</w:t>
            </w:r>
            <w:proofErr w:type="spellEnd"/>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BBE3662" w14:textId="77777777" w:rsidR="003A6AFC" w:rsidRPr="00810066" w:rsidRDefault="003A6AFC">
            <w:pPr>
              <w:rPr>
                <w:rFonts w:asciiTheme="minorHAnsi" w:hAnsiTheme="minorHAnsi" w:cstheme="minorHAnsi"/>
              </w:rPr>
            </w:pPr>
            <w:r w:rsidRPr="00810066">
              <w:rPr>
                <w:rFonts w:asciiTheme="minorHAnsi" w:hAnsiTheme="minorHAnsi" w:cstheme="minorHAnsi"/>
              </w:rPr>
              <w:t>2</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3B391E73" w14:textId="1438B2DF" w:rsidR="003A6AFC" w:rsidRPr="00810066" w:rsidRDefault="003A6AFC">
            <w:pPr>
              <w:rPr>
                <w:rFonts w:asciiTheme="minorHAnsi" w:hAnsiTheme="minorHAnsi" w:cstheme="minorHAnsi"/>
              </w:rPr>
            </w:pPr>
            <w:r w:rsidRPr="00810066">
              <w:rPr>
                <w:rFonts w:asciiTheme="minorHAnsi" w:hAnsiTheme="minorHAnsi" w:cstheme="minorHAnsi"/>
              </w:rPr>
              <w:t>Coagulation délocalisée</w:t>
            </w:r>
          </w:p>
        </w:tc>
      </w:tr>
      <w:tr w:rsidR="003A6AFC" w:rsidRPr="00206109" w14:paraId="3C6E9FBF"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79204EB7" w14:textId="77777777" w:rsidR="003A6AFC" w:rsidRPr="00810066" w:rsidRDefault="003A6AFC">
            <w:pPr>
              <w:rPr>
                <w:rFonts w:asciiTheme="minorHAnsi" w:hAnsiTheme="minorHAnsi" w:cstheme="minorHAnsi"/>
              </w:rPr>
            </w:pPr>
            <w:r w:rsidRPr="00810066">
              <w:rPr>
                <w:rFonts w:asciiTheme="minorHAnsi" w:hAnsiTheme="minorHAnsi" w:cstheme="minorHAnsi"/>
              </w:rPr>
              <w:t>EPOC NXS</w:t>
            </w:r>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6778B079" w14:textId="77777777" w:rsidR="003A6AFC" w:rsidRPr="00810066" w:rsidRDefault="003A6AFC">
            <w:pPr>
              <w:rPr>
                <w:rFonts w:asciiTheme="minorHAnsi" w:hAnsiTheme="minorHAnsi" w:cstheme="minorHAnsi"/>
              </w:rPr>
            </w:pPr>
            <w:r w:rsidRPr="00810066">
              <w:rPr>
                <w:rFonts w:asciiTheme="minorHAnsi" w:hAnsiTheme="minorHAnsi" w:cstheme="minorHAnsi"/>
              </w:rPr>
              <w:t>Siemens</w:t>
            </w:r>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1C1704AD" w14:textId="77777777" w:rsidR="003A6AFC" w:rsidRPr="00810066" w:rsidRDefault="003A6AFC">
            <w:pPr>
              <w:rPr>
                <w:rFonts w:asciiTheme="minorHAnsi" w:hAnsiTheme="minorHAnsi" w:cstheme="minorHAnsi"/>
              </w:rPr>
            </w:pPr>
            <w:r w:rsidRPr="00810066">
              <w:rPr>
                <w:rFonts w:asciiTheme="minorHAnsi" w:hAnsiTheme="minorHAnsi" w:cstheme="minorHAnsi"/>
              </w:rPr>
              <w:t>7</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3A1B17D9" w14:textId="77777777" w:rsidR="003A6AFC" w:rsidRPr="00810066" w:rsidRDefault="003A6AFC">
            <w:pPr>
              <w:rPr>
                <w:rFonts w:asciiTheme="minorHAnsi" w:hAnsiTheme="minorHAnsi" w:cstheme="minorHAnsi"/>
              </w:rPr>
            </w:pPr>
            <w:r w:rsidRPr="00810066">
              <w:rPr>
                <w:rFonts w:asciiTheme="minorHAnsi" w:hAnsiTheme="minorHAnsi" w:cstheme="minorHAnsi"/>
              </w:rPr>
              <w:t>Gaz du sang / Biochimie POC</w:t>
            </w:r>
          </w:p>
        </w:tc>
      </w:tr>
      <w:tr w:rsidR="003A6AFC" w:rsidRPr="00206109" w14:paraId="13302581" w14:textId="77777777" w:rsidTr="003A6AFC">
        <w:tc>
          <w:tcPr>
            <w:tcW w:w="3000" w:type="dxa"/>
            <w:tcBorders>
              <w:top w:val="nil"/>
              <w:left w:val="single" w:sz="8" w:space="0" w:color="BFBFBF"/>
              <w:bottom w:val="single" w:sz="8" w:space="0" w:color="BFBFBF"/>
              <w:right w:val="single" w:sz="8" w:space="0" w:color="BFBFBF"/>
            </w:tcBorders>
            <w:tcMar>
              <w:top w:w="80" w:type="dxa"/>
              <w:left w:w="120" w:type="dxa"/>
              <w:bottom w:w="80" w:type="dxa"/>
              <w:right w:w="120" w:type="dxa"/>
            </w:tcMar>
            <w:vAlign w:val="center"/>
            <w:hideMark/>
          </w:tcPr>
          <w:p w14:paraId="7AF339E6" w14:textId="77777777" w:rsidR="003A6AFC" w:rsidRPr="00810066" w:rsidRDefault="003A6AFC">
            <w:pPr>
              <w:rPr>
                <w:rFonts w:asciiTheme="minorHAnsi" w:hAnsiTheme="minorHAnsi" w:cstheme="minorHAnsi"/>
              </w:rPr>
            </w:pPr>
            <w:r w:rsidRPr="00810066">
              <w:rPr>
                <w:rFonts w:asciiTheme="minorHAnsi" w:hAnsiTheme="minorHAnsi" w:cstheme="minorHAnsi"/>
              </w:rPr>
              <w:t>QUANTRA</w:t>
            </w:r>
          </w:p>
        </w:tc>
        <w:tc>
          <w:tcPr>
            <w:tcW w:w="20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600132C0"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Stago</w:t>
            </w:r>
            <w:proofErr w:type="spellEnd"/>
            <w:r w:rsidRPr="00810066">
              <w:rPr>
                <w:rFonts w:asciiTheme="minorHAnsi" w:hAnsiTheme="minorHAnsi" w:cstheme="minorHAnsi"/>
              </w:rPr>
              <w:t xml:space="preserve"> </w:t>
            </w:r>
            <w:proofErr w:type="spellStart"/>
            <w:r w:rsidRPr="00810066">
              <w:rPr>
                <w:rFonts w:asciiTheme="minorHAnsi" w:hAnsiTheme="minorHAnsi" w:cstheme="minorHAnsi"/>
              </w:rPr>
              <w:t>Biocare</w:t>
            </w:r>
            <w:proofErr w:type="spellEnd"/>
          </w:p>
        </w:tc>
        <w:tc>
          <w:tcPr>
            <w:tcW w:w="1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2904D5E1" w14:textId="77777777" w:rsidR="003A6AFC" w:rsidRPr="00810066" w:rsidRDefault="003A6AFC">
            <w:pPr>
              <w:rPr>
                <w:rFonts w:asciiTheme="minorHAnsi" w:hAnsiTheme="minorHAnsi" w:cstheme="minorHAnsi"/>
              </w:rPr>
            </w:pPr>
            <w:r w:rsidRPr="00810066">
              <w:rPr>
                <w:rFonts w:asciiTheme="minorHAnsi" w:hAnsiTheme="minorHAnsi" w:cstheme="minorHAnsi"/>
              </w:rPr>
              <w:t>1</w:t>
            </w:r>
          </w:p>
        </w:tc>
        <w:tc>
          <w:tcPr>
            <w:tcW w:w="2500" w:type="dxa"/>
            <w:tcBorders>
              <w:top w:val="nil"/>
              <w:left w:val="nil"/>
              <w:bottom w:val="single" w:sz="8" w:space="0" w:color="BFBFBF"/>
              <w:right w:val="single" w:sz="8" w:space="0" w:color="BFBFBF"/>
            </w:tcBorders>
            <w:tcMar>
              <w:top w:w="80" w:type="dxa"/>
              <w:left w:w="120" w:type="dxa"/>
              <w:bottom w:w="80" w:type="dxa"/>
              <w:right w:w="120" w:type="dxa"/>
            </w:tcMar>
            <w:vAlign w:val="center"/>
            <w:hideMark/>
          </w:tcPr>
          <w:p w14:paraId="398DE252" w14:textId="77777777" w:rsidR="003A6AFC" w:rsidRPr="00810066" w:rsidRDefault="003A6AFC">
            <w:pPr>
              <w:rPr>
                <w:rFonts w:asciiTheme="minorHAnsi" w:hAnsiTheme="minorHAnsi" w:cstheme="minorHAnsi"/>
              </w:rPr>
            </w:pPr>
            <w:proofErr w:type="spellStart"/>
            <w:r w:rsidRPr="00810066">
              <w:rPr>
                <w:rFonts w:asciiTheme="minorHAnsi" w:hAnsiTheme="minorHAnsi" w:cstheme="minorHAnsi"/>
              </w:rPr>
              <w:t>Tromboélastométrie</w:t>
            </w:r>
            <w:proofErr w:type="spellEnd"/>
          </w:p>
        </w:tc>
      </w:tr>
      <w:tr w:rsidR="003A6AFC" w:rsidRPr="00206109" w14:paraId="421AD6EC" w14:textId="77777777" w:rsidTr="003A6AFC">
        <w:tc>
          <w:tcPr>
            <w:tcW w:w="3000" w:type="dxa"/>
            <w:tcBorders>
              <w:top w:val="nil"/>
              <w:left w:val="single" w:sz="8" w:space="0" w:color="BFBFBF"/>
              <w:bottom w:val="single" w:sz="8" w:space="0" w:color="BFBFBF"/>
              <w:right w:val="single" w:sz="8" w:space="0" w:color="BFBFBF"/>
            </w:tcBorders>
            <w:shd w:val="clear" w:color="auto" w:fill="D9E2F3"/>
            <w:tcMar>
              <w:top w:w="80" w:type="dxa"/>
              <w:left w:w="120" w:type="dxa"/>
              <w:bottom w:w="80" w:type="dxa"/>
              <w:right w:w="120" w:type="dxa"/>
            </w:tcMar>
            <w:vAlign w:val="center"/>
            <w:hideMark/>
          </w:tcPr>
          <w:p w14:paraId="391B84CE"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TOTAL</w:t>
            </w:r>
          </w:p>
        </w:tc>
        <w:tc>
          <w:tcPr>
            <w:tcW w:w="2000" w:type="dxa"/>
            <w:tcBorders>
              <w:top w:val="nil"/>
              <w:left w:val="nil"/>
              <w:bottom w:val="single" w:sz="8" w:space="0" w:color="BFBFBF"/>
              <w:right w:val="single" w:sz="8" w:space="0" w:color="BFBFBF"/>
            </w:tcBorders>
            <w:shd w:val="clear" w:color="auto" w:fill="D9E2F3"/>
            <w:tcMar>
              <w:top w:w="80" w:type="dxa"/>
              <w:left w:w="120" w:type="dxa"/>
              <w:bottom w:w="80" w:type="dxa"/>
              <w:right w:w="120" w:type="dxa"/>
            </w:tcMar>
            <w:vAlign w:val="center"/>
            <w:hideMark/>
          </w:tcPr>
          <w:p w14:paraId="6FC29C7D"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w:t>
            </w:r>
          </w:p>
        </w:tc>
        <w:tc>
          <w:tcPr>
            <w:tcW w:w="1500" w:type="dxa"/>
            <w:tcBorders>
              <w:top w:val="nil"/>
              <w:left w:val="nil"/>
              <w:bottom w:val="single" w:sz="8" w:space="0" w:color="BFBFBF"/>
              <w:right w:val="single" w:sz="8" w:space="0" w:color="BFBFBF"/>
            </w:tcBorders>
            <w:shd w:val="clear" w:color="auto" w:fill="D9E2F3"/>
            <w:tcMar>
              <w:top w:w="80" w:type="dxa"/>
              <w:left w:w="120" w:type="dxa"/>
              <w:bottom w:w="80" w:type="dxa"/>
              <w:right w:w="120" w:type="dxa"/>
            </w:tcMar>
            <w:vAlign w:val="center"/>
            <w:hideMark/>
          </w:tcPr>
          <w:p w14:paraId="17FA5675" w14:textId="77777777" w:rsidR="003A6AFC" w:rsidRPr="00810066" w:rsidRDefault="003A6AFC">
            <w:pPr>
              <w:rPr>
                <w:rFonts w:asciiTheme="minorHAnsi" w:hAnsiTheme="minorHAnsi" w:cstheme="minorHAnsi"/>
                <w:b/>
              </w:rPr>
            </w:pPr>
            <w:r w:rsidRPr="00810066">
              <w:rPr>
                <w:rFonts w:asciiTheme="minorHAnsi" w:hAnsiTheme="minorHAnsi" w:cstheme="minorHAnsi"/>
                <w:b/>
                <w:color w:val="000000"/>
              </w:rPr>
              <w:t>33</w:t>
            </w:r>
          </w:p>
        </w:tc>
        <w:tc>
          <w:tcPr>
            <w:tcW w:w="2500" w:type="dxa"/>
            <w:tcBorders>
              <w:top w:val="nil"/>
              <w:left w:val="nil"/>
              <w:bottom w:val="single" w:sz="8" w:space="0" w:color="BFBFBF"/>
              <w:right w:val="single" w:sz="8" w:space="0" w:color="BFBFBF"/>
            </w:tcBorders>
            <w:shd w:val="clear" w:color="auto" w:fill="D9E2F3"/>
            <w:tcMar>
              <w:top w:w="80" w:type="dxa"/>
              <w:left w:w="120" w:type="dxa"/>
              <w:bottom w:w="80" w:type="dxa"/>
              <w:right w:w="120" w:type="dxa"/>
            </w:tcMar>
            <w:vAlign w:val="center"/>
            <w:hideMark/>
          </w:tcPr>
          <w:p w14:paraId="79D38178" w14:textId="77777777" w:rsidR="003A6AFC" w:rsidRPr="00810066" w:rsidRDefault="003A6AFC">
            <w:pPr>
              <w:rPr>
                <w:rFonts w:asciiTheme="minorHAnsi" w:hAnsiTheme="minorHAnsi" w:cstheme="minorHAnsi"/>
              </w:rPr>
            </w:pPr>
            <w:r w:rsidRPr="00810066">
              <w:rPr>
                <w:rFonts w:asciiTheme="minorHAnsi" w:hAnsiTheme="minorHAnsi" w:cstheme="minorHAnsi"/>
                <w:b/>
                <w:color w:val="000000"/>
              </w:rPr>
              <w:t>—</w:t>
            </w:r>
          </w:p>
        </w:tc>
      </w:tr>
    </w:tbl>
    <w:p w14:paraId="52703BC4" w14:textId="644FD64B" w:rsidR="0086323F" w:rsidRPr="00206109" w:rsidRDefault="0086323F">
      <w:pPr>
        <w:spacing w:before="200" w:after="120"/>
        <w:rPr>
          <w:rFonts w:asciiTheme="minorHAnsi" w:hAnsiTheme="minorHAnsi" w:cstheme="minorHAnsi"/>
        </w:rPr>
      </w:pPr>
    </w:p>
    <w:p w14:paraId="36B1A0C6" w14:textId="487C6F1B" w:rsidR="0086323F" w:rsidRPr="00206109" w:rsidRDefault="00964243">
      <w:pPr>
        <w:spacing w:after="120"/>
        <w:jc w:val="both"/>
        <w:rPr>
          <w:rFonts w:asciiTheme="minorHAnsi" w:hAnsiTheme="minorHAnsi" w:cstheme="minorHAnsi"/>
        </w:rPr>
      </w:pPr>
      <w:bookmarkStart w:id="13" w:name="_Hlk230353000"/>
      <w:r w:rsidRPr="00206109">
        <w:rPr>
          <w:rFonts w:asciiTheme="minorHAnsi" w:hAnsiTheme="minorHAnsi" w:cstheme="minorHAnsi"/>
        </w:rPr>
        <w:t>Le candidat fournira un schéma synoptique cible d’architecture détaillant le raccordement des</w:t>
      </w:r>
      <w:r w:rsidR="00B27813" w:rsidRPr="00206109">
        <w:rPr>
          <w:rFonts w:asciiTheme="minorHAnsi" w:hAnsiTheme="minorHAnsi" w:cstheme="minorHAnsi"/>
        </w:rPr>
        <w:t xml:space="preserve"> </w:t>
      </w:r>
      <w:r w:rsidRPr="00206109">
        <w:rPr>
          <w:rFonts w:asciiTheme="minorHAnsi" w:hAnsiTheme="minorHAnsi" w:cstheme="minorHAnsi"/>
        </w:rPr>
        <w:t xml:space="preserve">gazomètres et </w:t>
      </w:r>
      <w:r w:rsidR="002D6031" w:rsidRPr="00206109">
        <w:rPr>
          <w:rFonts w:asciiTheme="minorHAnsi" w:hAnsiTheme="minorHAnsi" w:cstheme="minorHAnsi"/>
        </w:rPr>
        <w:t>des analyseurs</w:t>
      </w:r>
      <w:r w:rsidR="00F91310" w:rsidRPr="00206109">
        <w:rPr>
          <w:rFonts w:asciiTheme="minorHAnsi" w:hAnsiTheme="minorHAnsi" w:cstheme="minorHAnsi"/>
        </w:rPr>
        <w:t xml:space="preserve"> tiers</w:t>
      </w:r>
      <w:r w:rsidRPr="00206109">
        <w:rPr>
          <w:rFonts w:asciiTheme="minorHAnsi" w:hAnsiTheme="minorHAnsi" w:cstheme="minorHAnsi"/>
        </w:rPr>
        <w:t xml:space="preserve"> au middleware, ainsi que les interfaces vers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(cf. </w:t>
      </w:r>
      <w:r w:rsidR="00303473">
        <w:rPr>
          <w:rFonts w:asciiTheme="minorHAnsi" w:hAnsiTheme="minorHAnsi" w:cstheme="minorHAnsi"/>
        </w:rPr>
        <w:t>« </w:t>
      </w:r>
      <w:r w:rsidR="00D06911">
        <w:rPr>
          <w:rFonts w:asciiTheme="minorHAnsi" w:hAnsiTheme="minorHAnsi" w:cstheme="minorHAnsi"/>
        </w:rPr>
        <w:t xml:space="preserve">3-CCTP </w:t>
      </w:r>
      <w:r w:rsidRPr="00206109">
        <w:rPr>
          <w:rFonts w:asciiTheme="minorHAnsi" w:hAnsiTheme="minorHAnsi" w:cstheme="minorHAnsi"/>
        </w:rPr>
        <w:t xml:space="preserve">Annexe </w:t>
      </w:r>
      <w:proofErr w:type="gramStart"/>
      <w:r w:rsidR="00D06911">
        <w:rPr>
          <w:rFonts w:asciiTheme="minorHAnsi" w:hAnsiTheme="minorHAnsi" w:cstheme="minorHAnsi"/>
        </w:rPr>
        <w:t>2.</w:t>
      </w:r>
      <w:r w:rsidRPr="00206109">
        <w:rPr>
          <w:rFonts w:asciiTheme="minorHAnsi" w:hAnsiTheme="minorHAnsi" w:cstheme="minorHAnsi"/>
        </w:rPr>
        <w:t>Connexion</w:t>
      </w:r>
      <w:proofErr w:type="gramEnd"/>
      <w:r w:rsidRPr="00206109">
        <w:rPr>
          <w:rFonts w:asciiTheme="minorHAnsi" w:hAnsiTheme="minorHAnsi" w:cstheme="minorHAnsi"/>
        </w:rPr>
        <w:t xml:space="preserve"> informatique</w:t>
      </w:r>
      <w:r w:rsidR="00303473">
        <w:rPr>
          <w:rFonts w:asciiTheme="minorHAnsi" w:hAnsiTheme="minorHAnsi" w:cstheme="minorHAnsi"/>
        </w:rPr>
        <w:t> »</w:t>
      </w:r>
      <w:r w:rsidRPr="00206109">
        <w:rPr>
          <w:rFonts w:asciiTheme="minorHAnsi" w:hAnsiTheme="minorHAnsi" w:cstheme="minorHAnsi"/>
        </w:rPr>
        <w:t>).</w:t>
      </w:r>
    </w:p>
    <w:p w14:paraId="2A9D2ED5" w14:textId="7D20408A" w:rsidR="00E83D52" w:rsidRPr="00206109" w:rsidRDefault="00E83D52">
      <w:pPr>
        <w:spacing w:after="120"/>
        <w:jc w:val="both"/>
        <w:rPr>
          <w:rFonts w:asciiTheme="minorHAnsi" w:hAnsiTheme="minorHAnsi" w:cstheme="minorHAnsi"/>
        </w:rPr>
      </w:pPr>
      <w:r w:rsidRPr="00206109">
        <w:rPr>
          <w:rFonts w:asciiTheme="minorHAnsi" w:hAnsiTheme="minorHAnsi" w:cstheme="minorHAnsi"/>
          <w:b/>
          <w:bCs/>
        </w:rPr>
        <w:t>Note relative aux analyseurs EPOC NXS :</w:t>
      </w:r>
      <w:r w:rsidRPr="00206109">
        <w:rPr>
          <w:rFonts w:asciiTheme="minorHAnsi" w:hAnsiTheme="minorHAnsi" w:cstheme="minorHAnsi"/>
        </w:rPr>
        <w:t xml:space="preserve"> À ce jour, la connexion des 7 EPOC NXS au middleware </w:t>
      </w:r>
      <w:proofErr w:type="spellStart"/>
      <w:r w:rsidRPr="00206109">
        <w:rPr>
          <w:rFonts w:asciiTheme="minorHAnsi" w:hAnsiTheme="minorHAnsi" w:cstheme="minorHAnsi"/>
        </w:rPr>
        <w:t>POCcelerator</w:t>
      </w:r>
      <w:proofErr w:type="spellEnd"/>
      <w:r w:rsidRPr="00206109">
        <w:rPr>
          <w:rFonts w:asciiTheme="minorHAnsi" w:hAnsiTheme="minorHAnsi" w:cstheme="minorHAnsi"/>
        </w:rPr>
        <w:t xml:space="preserve"> s'effectue via le module </w:t>
      </w:r>
      <w:proofErr w:type="spellStart"/>
      <w:r w:rsidRPr="00206109">
        <w:rPr>
          <w:rFonts w:asciiTheme="minorHAnsi" w:hAnsiTheme="minorHAnsi" w:cstheme="minorHAnsi"/>
          <w:b/>
          <w:bCs/>
        </w:rPr>
        <w:t>Meditrac</w:t>
      </w:r>
      <w:proofErr w:type="spellEnd"/>
      <w:r w:rsidRPr="00206109">
        <w:rPr>
          <w:rFonts w:asciiTheme="minorHAnsi" w:hAnsiTheme="minorHAnsi" w:cstheme="minorHAnsi"/>
        </w:rPr>
        <w:t xml:space="preserve">, composant du gestionnaire de données Siemens. Cette </w:t>
      </w:r>
      <w:r w:rsidRPr="00206109">
        <w:rPr>
          <w:rFonts w:asciiTheme="minorHAnsi" w:hAnsiTheme="minorHAnsi" w:cstheme="minorHAnsi"/>
        </w:rPr>
        <w:lastRenderedPageBreak/>
        <w:t>dépendance est susceptible d'impacter la richesse de la connexion EPOC dans le cadre d'une solution middleware tierce. Le candidat précisera sa stratégie de raccordement et les conséquences fonctionnelles et organisationnelles associées.</w:t>
      </w:r>
    </w:p>
    <w:p w14:paraId="45C7495C" w14:textId="4943A17E" w:rsidR="0086323F" w:rsidRPr="003C4BBB" w:rsidRDefault="00964243">
      <w:pPr>
        <w:pStyle w:val="Titre2"/>
        <w:rPr>
          <w:rFonts w:asciiTheme="minorHAnsi" w:hAnsiTheme="minorHAnsi" w:cstheme="minorHAnsi"/>
          <w:color w:val="767171" w:themeColor="background2" w:themeShade="80"/>
          <w:sz w:val="22"/>
          <w:szCs w:val="22"/>
        </w:rPr>
      </w:pPr>
      <w:bookmarkStart w:id="14" w:name="_Toc232759454"/>
      <w:bookmarkEnd w:id="13"/>
      <w:r w:rsidRPr="003C4BBB">
        <w:rPr>
          <w:rFonts w:asciiTheme="minorHAnsi" w:hAnsiTheme="minorHAnsi" w:cstheme="minorHAnsi"/>
          <w:color w:val="767171" w:themeColor="background2" w:themeShade="80"/>
          <w:sz w:val="22"/>
          <w:szCs w:val="22"/>
        </w:rPr>
        <w:t>2.8. PSE facultative</w:t>
      </w:r>
      <w:r w:rsidR="00DC10EF" w:rsidRPr="003C4BBB">
        <w:rPr>
          <w:rFonts w:asciiTheme="minorHAnsi" w:hAnsiTheme="minorHAnsi" w:cstheme="minorHAnsi"/>
          <w:color w:val="767171" w:themeColor="background2" w:themeShade="80"/>
          <w:sz w:val="22"/>
          <w:szCs w:val="22"/>
        </w:rPr>
        <w:t>s</w:t>
      </w:r>
      <w:bookmarkEnd w:id="14"/>
    </w:p>
    <w:p w14:paraId="56323244" w14:textId="77777777" w:rsidR="00DC10EF" w:rsidRPr="00206109" w:rsidRDefault="00DC10EF" w:rsidP="00DC10EF">
      <w:pPr>
        <w:pStyle w:val="font-claude-response-body"/>
        <w:jc w:val="both"/>
        <w:rPr>
          <w:rFonts w:asciiTheme="minorHAnsi" w:hAnsiTheme="minorHAnsi" w:cstheme="minorHAnsi"/>
          <w:sz w:val="22"/>
          <w:szCs w:val="22"/>
        </w:rPr>
      </w:pPr>
      <w:r w:rsidRPr="00206109">
        <w:rPr>
          <w:rFonts w:asciiTheme="minorHAnsi" w:hAnsiTheme="minorHAnsi" w:cstheme="minorHAnsi"/>
          <w:sz w:val="22"/>
          <w:szCs w:val="22"/>
        </w:rPr>
        <w:t>Le candidat pourra proposer les Prestations Supplémentaires Éventuelles (PSE) facultatives suivantes. Chaque PSE fera l'objet d'une cotation séparée en Annexe Financière. Leur réponse n'est pas obligatoire et leur retenue ou non-retenue n'influencera pas le classement de l'offre principale.</w:t>
      </w:r>
    </w:p>
    <w:p w14:paraId="5EBF4420" w14:textId="5A29153D" w:rsidR="00DC10EF" w:rsidRPr="00206109" w:rsidRDefault="00DC10EF" w:rsidP="00DC10EF">
      <w:pPr>
        <w:pStyle w:val="font-claude-response-body"/>
        <w:jc w:val="both"/>
        <w:rPr>
          <w:rFonts w:asciiTheme="minorHAnsi" w:hAnsiTheme="minorHAnsi" w:cstheme="minorHAnsi"/>
          <w:sz w:val="22"/>
          <w:szCs w:val="22"/>
        </w:rPr>
      </w:pPr>
      <w:r w:rsidRPr="00206109">
        <w:rPr>
          <w:rStyle w:val="lev"/>
          <w:rFonts w:asciiTheme="minorHAnsi" w:hAnsiTheme="minorHAnsi" w:cstheme="minorHAnsi"/>
          <w:sz w:val="22"/>
          <w:szCs w:val="22"/>
        </w:rPr>
        <w:t>PSE 1 — Module hémolyse intégré</w:t>
      </w:r>
      <w:r w:rsidRPr="00206109">
        <w:rPr>
          <w:rFonts w:asciiTheme="minorHAnsi" w:hAnsiTheme="minorHAnsi" w:cstheme="minorHAnsi"/>
          <w:sz w:val="22"/>
          <w:szCs w:val="22"/>
        </w:rPr>
        <w:t xml:space="preserve"> </w:t>
      </w:r>
      <w:r w:rsidR="00B27813" w:rsidRPr="00206109">
        <w:rPr>
          <w:rFonts w:asciiTheme="minorHAnsi" w:hAnsiTheme="minorHAnsi" w:cstheme="minorHAnsi"/>
          <w:sz w:val="22"/>
          <w:szCs w:val="22"/>
        </w:rPr>
        <w:t xml:space="preserve">Le candidat proposera une fonctionnalité de détection automatique de l'hémolyse, intégrée à l'analyseur ou à la cartouche de mesure. Cette fonctionnalité sera plus utilisée et exploitée sur les analyseurs implantés dans les services des urgences, de l'hôpital des enfants et de la maternité, secteurs présentant la prévalence d'hémolyse la plus élevée. Le candidat précisera les modalités de signalement de l'hémolyse à l'opérateur (seuils, alertes, blocage éventuel du résultat) ainsi que sa traçabilité au niveau du middleware et sa transmission au SIL </w:t>
      </w:r>
      <w:proofErr w:type="spellStart"/>
      <w:r w:rsidR="00B27813" w:rsidRPr="00206109">
        <w:rPr>
          <w:rFonts w:asciiTheme="minorHAnsi" w:hAnsiTheme="minorHAnsi" w:cstheme="minorHAnsi"/>
          <w:sz w:val="22"/>
          <w:szCs w:val="22"/>
        </w:rPr>
        <w:t>Molis</w:t>
      </w:r>
      <w:proofErr w:type="spellEnd"/>
      <w:r w:rsidR="00B27813" w:rsidRPr="00206109">
        <w:rPr>
          <w:rFonts w:asciiTheme="minorHAnsi" w:hAnsiTheme="minorHAnsi" w:cstheme="minorHAnsi"/>
          <w:sz w:val="22"/>
          <w:szCs w:val="22"/>
        </w:rPr>
        <w:t>.</w:t>
      </w:r>
    </w:p>
    <w:p w14:paraId="4386288E" w14:textId="77777777" w:rsidR="00B27813" w:rsidRPr="00206109" w:rsidRDefault="00DC10EF" w:rsidP="00B27813">
      <w:pPr>
        <w:pStyle w:val="font-claude-response-body"/>
        <w:jc w:val="both"/>
        <w:rPr>
          <w:rFonts w:asciiTheme="minorHAnsi" w:hAnsiTheme="minorHAnsi" w:cstheme="minorHAnsi"/>
          <w:sz w:val="22"/>
          <w:szCs w:val="22"/>
        </w:rPr>
      </w:pPr>
      <w:r w:rsidRPr="00206109">
        <w:rPr>
          <w:rStyle w:val="lev"/>
          <w:rFonts w:asciiTheme="minorHAnsi" w:hAnsiTheme="minorHAnsi" w:cstheme="minorHAnsi"/>
          <w:sz w:val="22"/>
          <w:szCs w:val="22"/>
        </w:rPr>
        <w:t>PSE 2 — Dosage de la créatinine sur le site de Lavaur</w:t>
      </w:r>
      <w:r w:rsidRPr="00206109">
        <w:rPr>
          <w:rFonts w:asciiTheme="minorHAnsi" w:hAnsiTheme="minorHAnsi" w:cstheme="minorHAnsi"/>
          <w:sz w:val="22"/>
          <w:szCs w:val="22"/>
        </w:rPr>
        <w:t xml:space="preserve"> </w:t>
      </w:r>
      <w:r w:rsidR="00B27813" w:rsidRPr="00206109">
        <w:rPr>
          <w:rFonts w:asciiTheme="minorHAnsi" w:hAnsiTheme="minorHAnsi" w:cstheme="minorHAnsi"/>
          <w:sz w:val="22"/>
          <w:szCs w:val="22"/>
        </w:rPr>
        <w:t>Le candidat proposera l'intégration du dosage de la créatinine sur les analyseurs implantés au site de Lavaur, en précisant les conditions techniques et tarifaires associées (réactifs, calibration, accréditation).</w:t>
      </w:r>
    </w:p>
    <w:p w14:paraId="0C6E2205" w14:textId="7EBBC83F" w:rsidR="00B27813" w:rsidRPr="00206109" w:rsidRDefault="00B27813" w:rsidP="00B27813">
      <w:pPr>
        <w:pStyle w:val="font-claude-response-body"/>
        <w:jc w:val="both"/>
        <w:rPr>
          <w:rFonts w:asciiTheme="minorHAnsi" w:hAnsiTheme="minorHAnsi" w:cstheme="minorHAnsi"/>
          <w:sz w:val="22"/>
          <w:szCs w:val="22"/>
        </w:rPr>
      </w:pPr>
      <w:r w:rsidRPr="00206109">
        <w:rPr>
          <w:rFonts w:asciiTheme="minorHAnsi" w:hAnsiTheme="minorHAnsi" w:cstheme="minorHAnsi"/>
          <w:sz w:val="22"/>
          <w:szCs w:val="22"/>
        </w:rPr>
        <w:t xml:space="preserve">L'objectif de cette PSE est de constituer une solution de repli pour le dosage de la créatinine en cas de panne de l'équipement de biochimie actuellement en service sur le site. Dans ce cadre, le candidat décrira une organisation possible permettant un recours ponctuel au dosage de la créatinine sur gazomètre, étant entendu que cette analyse n'a pas vocation à être réalisée en routine. Le candidat précisera les modalités d'usage envisageables, en intégrant l'hypothèse où les contraintes techniques (stabilité des cartouches, calibration, contrôles de qualité) conduiraient à réaliser la créatinine de manière systématique. Il décrira les conséquences associées en termes de consommables, de coûts et d'exigences d'accréditation au titre de la norme ISO </w:t>
      </w:r>
      <w:proofErr w:type="gramStart"/>
      <w:r w:rsidRPr="00206109">
        <w:rPr>
          <w:rFonts w:asciiTheme="minorHAnsi" w:hAnsiTheme="minorHAnsi" w:cstheme="minorHAnsi"/>
          <w:sz w:val="22"/>
          <w:szCs w:val="22"/>
        </w:rPr>
        <w:t>15189</w:t>
      </w:r>
      <w:r w:rsidR="002D6031">
        <w:rPr>
          <w:rFonts w:asciiTheme="minorHAnsi" w:hAnsiTheme="minorHAnsi" w:cstheme="minorHAnsi"/>
          <w:sz w:val="22"/>
          <w:szCs w:val="22"/>
        </w:rPr>
        <w:t>:</w:t>
      </w:r>
      <w:proofErr w:type="gramEnd"/>
      <w:r w:rsidR="002D6031">
        <w:rPr>
          <w:rFonts w:asciiTheme="minorHAnsi" w:hAnsiTheme="minorHAnsi" w:cstheme="minorHAnsi"/>
          <w:sz w:val="22"/>
          <w:szCs w:val="22"/>
        </w:rPr>
        <w:t>2022</w:t>
      </w:r>
      <w:r w:rsidRPr="00206109">
        <w:rPr>
          <w:rFonts w:asciiTheme="minorHAnsi" w:hAnsiTheme="minorHAnsi" w:cstheme="minorHAnsi"/>
          <w:sz w:val="22"/>
          <w:szCs w:val="22"/>
        </w:rPr>
        <w:t xml:space="preserve">. </w:t>
      </w:r>
    </w:p>
    <w:p w14:paraId="47E37491" w14:textId="0CD972EA" w:rsidR="0086323F" w:rsidRPr="00206109" w:rsidRDefault="00964243" w:rsidP="00B27813">
      <w:pPr>
        <w:pStyle w:val="Titre1"/>
        <w:rPr>
          <w:rFonts w:asciiTheme="minorHAnsi" w:hAnsiTheme="minorHAnsi" w:cstheme="minorHAnsi"/>
        </w:rPr>
      </w:pPr>
      <w:bookmarkStart w:id="15" w:name="_Toc232759455"/>
      <w:r w:rsidRPr="00206109">
        <w:rPr>
          <w:rFonts w:asciiTheme="minorHAnsi" w:hAnsiTheme="minorHAnsi" w:cstheme="minorHAnsi"/>
        </w:rPr>
        <w:t>3. Prestations</w:t>
      </w:r>
      <w:bookmarkEnd w:id="15"/>
    </w:p>
    <w:p w14:paraId="7BFBAE79"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16" w:name="_Toc232759456"/>
      <w:r w:rsidRPr="003C4BBB">
        <w:rPr>
          <w:rFonts w:asciiTheme="minorHAnsi" w:hAnsiTheme="minorHAnsi" w:cstheme="minorHAnsi"/>
          <w:color w:val="767171" w:themeColor="background2" w:themeShade="80"/>
          <w:sz w:val="22"/>
          <w:szCs w:val="22"/>
        </w:rPr>
        <w:t>3.1. Mise en œuvre des applications et validation des méthodes</w:t>
      </w:r>
      <w:bookmarkEnd w:id="16"/>
    </w:p>
    <w:p w14:paraId="016142F5" w14:textId="21532453"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 xml:space="preserve">L’ensemble des kits, </w:t>
      </w:r>
      <w:proofErr w:type="spellStart"/>
      <w:r w:rsidRPr="00206109">
        <w:rPr>
          <w:rFonts w:asciiTheme="minorHAnsi" w:hAnsiTheme="minorHAnsi" w:cstheme="minorHAnsi"/>
        </w:rPr>
        <w:t>calibrants</w:t>
      </w:r>
      <w:proofErr w:type="spellEnd"/>
      <w:r w:rsidRPr="00206109">
        <w:rPr>
          <w:rFonts w:asciiTheme="minorHAnsi" w:hAnsiTheme="minorHAnsi" w:cstheme="minorHAnsi"/>
        </w:rPr>
        <w:t xml:space="preserve"> et matériel de contrôle nécessaires à la vérification des méthodes telles que décrites par la norme ISO </w:t>
      </w:r>
      <w:proofErr w:type="gramStart"/>
      <w:r w:rsidRPr="00206109">
        <w:rPr>
          <w:rFonts w:asciiTheme="minorHAnsi" w:hAnsiTheme="minorHAnsi" w:cstheme="minorHAnsi"/>
        </w:rPr>
        <w:t>15189</w:t>
      </w:r>
      <w:r w:rsidR="002D6031">
        <w:rPr>
          <w:rFonts w:asciiTheme="minorHAnsi" w:hAnsiTheme="minorHAnsi" w:cstheme="minorHAnsi"/>
        </w:rPr>
        <w:t>:</w:t>
      </w:r>
      <w:proofErr w:type="gramEnd"/>
      <w:r w:rsidR="002D6031">
        <w:rPr>
          <w:rFonts w:asciiTheme="minorHAnsi" w:hAnsiTheme="minorHAnsi" w:cstheme="minorHAnsi"/>
        </w:rPr>
        <w:t>2022</w:t>
      </w:r>
      <w:r w:rsidRPr="00206109">
        <w:rPr>
          <w:rFonts w:asciiTheme="minorHAnsi" w:hAnsiTheme="minorHAnsi" w:cstheme="minorHAnsi"/>
        </w:rPr>
        <w:t xml:space="preserve"> sera à la charge du titulaire. Ce dernier proposera un accompagnement opérationnel comprenant :</w:t>
      </w:r>
    </w:p>
    <w:p w14:paraId="0B52732B"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support à la réalisation des évaluations de répétabilité et de reproductibilité par paramètre et par site ;</w:t>
      </w:r>
    </w:p>
    <w:p w14:paraId="5A625E85" w14:textId="3E5C8917" w:rsidR="0086323F" w:rsidRPr="00206109" w:rsidRDefault="00964243" w:rsidP="000C1129">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support à la comparaison de méthodes (analyseur actuel / analyseur cible et analyseur du laboratoire / analyseur délocalisé) ;</w:t>
      </w:r>
    </w:p>
    <w:p w14:paraId="0AD0EE02"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l’extraction</w:t>
      </w:r>
      <w:proofErr w:type="gramEnd"/>
      <w:r w:rsidRPr="00206109">
        <w:rPr>
          <w:rFonts w:asciiTheme="minorHAnsi" w:hAnsiTheme="minorHAnsi" w:cstheme="minorHAnsi"/>
        </w:rPr>
        <w:t xml:space="preserve"> et la compilation des données pour le remplissage des SH FORM 43 du Cofrac.</w:t>
      </w:r>
    </w:p>
    <w:p w14:paraId="0C478677" w14:textId="77793018"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 xml:space="preserve">Le candidat </w:t>
      </w:r>
      <w:r w:rsidR="00AA7CC5">
        <w:rPr>
          <w:rFonts w:asciiTheme="minorHAnsi" w:hAnsiTheme="minorHAnsi" w:cstheme="minorHAnsi"/>
        </w:rPr>
        <w:t>optimisera son</w:t>
      </w:r>
      <w:r w:rsidRPr="00206109">
        <w:rPr>
          <w:rFonts w:asciiTheme="minorHAnsi" w:hAnsiTheme="minorHAnsi" w:cstheme="minorHAnsi"/>
        </w:rPr>
        <w:t xml:space="preserve"> calendrier</w:t>
      </w:r>
      <w:r w:rsidR="00AA7CC5">
        <w:rPr>
          <w:rFonts w:asciiTheme="minorHAnsi" w:hAnsiTheme="minorHAnsi" w:cstheme="minorHAnsi"/>
        </w:rPr>
        <w:t xml:space="preserve"> </w:t>
      </w:r>
      <w:r w:rsidRPr="00206109">
        <w:rPr>
          <w:rFonts w:asciiTheme="minorHAnsi" w:hAnsiTheme="minorHAnsi" w:cstheme="minorHAnsi"/>
        </w:rPr>
        <w:t>de validation. À titre indicatif, l’objectif est de réaliser le déploiement complet (</w:t>
      </w:r>
      <w:r w:rsidR="000C1129" w:rsidRPr="00206109">
        <w:rPr>
          <w:rFonts w:asciiTheme="minorHAnsi" w:hAnsiTheme="minorHAnsi" w:cstheme="minorHAnsi"/>
        </w:rPr>
        <w:t>A</w:t>
      </w:r>
      <w:r w:rsidRPr="00206109">
        <w:rPr>
          <w:rFonts w:asciiTheme="minorHAnsi" w:hAnsiTheme="minorHAnsi" w:cstheme="minorHAnsi"/>
        </w:rPr>
        <w:t>nalyseurs + middleware + interfaces) en 3 mois à compter de la notification du marché.</w:t>
      </w:r>
    </w:p>
    <w:p w14:paraId="2EFE3E80"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17" w:name="_Toc232759457"/>
      <w:r w:rsidRPr="003C4BBB">
        <w:rPr>
          <w:rFonts w:asciiTheme="minorHAnsi" w:hAnsiTheme="minorHAnsi" w:cstheme="minorHAnsi"/>
          <w:color w:val="767171" w:themeColor="background2" w:themeShade="80"/>
          <w:sz w:val="22"/>
          <w:szCs w:val="22"/>
        </w:rPr>
        <w:t>3.2. Équipements</w:t>
      </w:r>
      <w:bookmarkEnd w:id="17"/>
    </w:p>
    <w:p w14:paraId="6AB081F9"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titulaire s’engage obligatoirement à :</w:t>
      </w:r>
    </w:p>
    <w:p w14:paraId="1077269F" w14:textId="57261A3B"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lastRenderedPageBreak/>
        <w:t>livrer</w:t>
      </w:r>
      <w:proofErr w:type="gramEnd"/>
      <w:r w:rsidRPr="00206109">
        <w:rPr>
          <w:rFonts w:asciiTheme="minorHAnsi" w:hAnsiTheme="minorHAnsi" w:cstheme="minorHAnsi"/>
        </w:rPr>
        <w:t xml:space="preserve"> des équipements conformes au Règlement européen 2017/746 sur les Dispositifs Médicaux de Diagnostic In Vitro (IVDR) et marqués CE-IVD ; le titulaire précisera la classe de risque</w:t>
      </w:r>
      <w:r w:rsidR="009A649C">
        <w:rPr>
          <w:rFonts w:asciiTheme="minorHAnsi" w:hAnsiTheme="minorHAnsi" w:cstheme="minorHAnsi"/>
        </w:rPr>
        <w:t>. Les équipements en transition sont acceptés</w:t>
      </w:r>
    </w:p>
    <w:p w14:paraId="46114A39"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transmettre</w:t>
      </w:r>
      <w:proofErr w:type="gramEnd"/>
      <w:r w:rsidRPr="00206109">
        <w:rPr>
          <w:rFonts w:asciiTheme="minorHAnsi" w:hAnsiTheme="minorHAnsi" w:cstheme="minorHAnsi"/>
        </w:rPr>
        <w:t xml:space="preserve"> les dossiers de qualification d’installation (QI) et de qualification opérationnelle (QO) en français ;</w:t>
      </w:r>
    </w:p>
    <w:p w14:paraId="205949D8"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fournir</w:t>
      </w:r>
      <w:proofErr w:type="gramEnd"/>
      <w:r w:rsidRPr="00206109">
        <w:rPr>
          <w:rFonts w:asciiTheme="minorHAnsi" w:hAnsiTheme="minorHAnsi" w:cstheme="minorHAnsi"/>
        </w:rPr>
        <w:t xml:space="preserve"> les certificats de validité des logiciels embarqués ;</w:t>
      </w:r>
    </w:p>
    <w:p w14:paraId="1C72B4D8"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assurer</w:t>
      </w:r>
      <w:proofErr w:type="gramEnd"/>
      <w:r w:rsidRPr="00206109">
        <w:rPr>
          <w:rFonts w:asciiTheme="minorHAnsi" w:hAnsiTheme="minorHAnsi" w:cstheme="minorHAnsi"/>
        </w:rPr>
        <w:t xml:space="preserve"> la qualification opérationnelle sur site avant mise en service ;</w:t>
      </w:r>
    </w:p>
    <w:p w14:paraId="77907FFB" w14:textId="79510C80"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livrer</w:t>
      </w:r>
      <w:proofErr w:type="gramEnd"/>
      <w:r w:rsidRPr="00206109">
        <w:rPr>
          <w:rFonts w:asciiTheme="minorHAnsi" w:hAnsiTheme="minorHAnsi" w:cstheme="minorHAnsi"/>
        </w:rPr>
        <w:t xml:space="preserve"> des onduleurs pour les analyseurs implantés dans les services de soins</w:t>
      </w:r>
      <w:r w:rsidR="00B27813" w:rsidRPr="00206109">
        <w:rPr>
          <w:rFonts w:asciiTheme="minorHAnsi" w:hAnsiTheme="minorHAnsi" w:cstheme="minorHAnsi"/>
        </w:rPr>
        <w:t xml:space="preserve"> (cf. </w:t>
      </w:r>
      <w:r w:rsidR="00F71A65">
        <w:rPr>
          <w:rFonts w:asciiTheme="minorHAnsi" w:hAnsiTheme="minorHAnsi" w:cstheme="minorHAnsi"/>
        </w:rPr>
        <w:t>« </w:t>
      </w:r>
      <w:r w:rsidR="00D06911">
        <w:rPr>
          <w:rFonts w:asciiTheme="minorHAnsi" w:hAnsiTheme="minorHAnsi" w:cstheme="minorHAnsi"/>
        </w:rPr>
        <w:t xml:space="preserve">3-CCTP </w:t>
      </w:r>
      <w:r w:rsidR="00B27813" w:rsidRPr="00206109">
        <w:rPr>
          <w:rFonts w:asciiTheme="minorHAnsi" w:hAnsiTheme="minorHAnsi" w:cstheme="minorHAnsi"/>
        </w:rPr>
        <w:t>Annexe</w:t>
      </w:r>
      <w:r w:rsidR="00D06911">
        <w:rPr>
          <w:rFonts w:asciiTheme="minorHAnsi" w:hAnsiTheme="minorHAnsi" w:cstheme="minorHAnsi"/>
        </w:rPr>
        <w:t xml:space="preserve"> 5.Equipement à remplacer avec besoin en onduleurs et chariots</w:t>
      </w:r>
      <w:r w:rsidR="00F71A65">
        <w:rPr>
          <w:rFonts w:asciiTheme="minorHAnsi" w:hAnsiTheme="minorHAnsi" w:cstheme="minorHAnsi"/>
        </w:rPr>
        <w:t> »</w:t>
      </w:r>
      <w:r w:rsidR="00B27813" w:rsidRPr="00206109">
        <w:rPr>
          <w:rFonts w:asciiTheme="minorHAnsi" w:hAnsiTheme="minorHAnsi" w:cstheme="minorHAnsi"/>
        </w:rPr>
        <w:t>)</w:t>
      </w:r>
      <w:r w:rsidRPr="00206109">
        <w:rPr>
          <w:rFonts w:asciiTheme="minorHAnsi" w:hAnsiTheme="minorHAnsi" w:cstheme="minorHAnsi"/>
        </w:rPr>
        <w:t xml:space="preserve"> </w:t>
      </w:r>
      <w:r w:rsidR="003B25BD" w:rsidRPr="00206109">
        <w:rPr>
          <w:rFonts w:asciiTheme="minorHAnsi" w:hAnsiTheme="minorHAnsi" w:cstheme="minorHAnsi"/>
        </w:rPr>
        <w:t>.</w:t>
      </w:r>
    </w:p>
    <w:p w14:paraId="7A7874C1" w14:textId="4BF24DB1" w:rsidR="002D6031" w:rsidRPr="003C4BBB" w:rsidRDefault="00964243" w:rsidP="003506AE">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livrer</w:t>
      </w:r>
      <w:proofErr w:type="gramEnd"/>
      <w:r w:rsidRPr="00206109">
        <w:rPr>
          <w:rFonts w:asciiTheme="minorHAnsi" w:hAnsiTheme="minorHAnsi" w:cstheme="minorHAnsi"/>
        </w:rPr>
        <w:t xml:space="preserve"> des chariots / supports mobiles pour les services le nécessitant : SSPI HE Purpan, Réanimation neurochirurgicale Purpan, Bloc CCV Rangueil (et autres services à valider lors de la visite de pré-installation)</w:t>
      </w:r>
      <w:r w:rsidR="00B27813" w:rsidRPr="00206109">
        <w:rPr>
          <w:rFonts w:asciiTheme="minorHAnsi" w:hAnsiTheme="minorHAnsi" w:cstheme="minorHAnsi"/>
        </w:rPr>
        <w:t xml:space="preserve"> cf. </w:t>
      </w:r>
      <w:r w:rsidR="00F71A65">
        <w:rPr>
          <w:rFonts w:asciiTheme="minorHAnsi" w:hAnsiTheme="minorHAnsi" w:cstheme="minorHAnsi"/>
        </w:rPr>
        <w:t xml:space="preserve">« 3-CCTP </w:t>
      </w:r>
      <w:r w:rsidR="00F71A65" w:rsidRPr="00206109">
        <w:rPr>
          <w:rFonts w:asciiTheme="minorHAnsi" w:hAnsiTheme="minorHAnsi" w:cstheme="minorHAnsi"/>
        </w:rPr>
        <w:t>Annexe</w:t>
      </w:r>
      <w:r w:rsidR="00F71A65">
        <w:rPr>
          <w:rFonts w:asciiTheme="minorHAnsi" w:hAnsiTheme="minorHAnsi" w:cstheme="minorHAnsi"/>
        </w:rPr>
        <w:t xml:space="preserve"> 5.Equipement à remplacer avec besoin en onduleurs et chariots »</w:t>
      </w:r>
      <w:r w:rsidR="00B27813" w:rsidRPr="00206109">
        <w:rPr>
          <w:rFonts w:asciiTheme="minorHAnsi" w:hAnsiTheme="minorHAnsi" w:cstheme="minorHAnsi"/>
        </w:rPr>
        <w:t>)</w:t>
      </w:r>
      <w:r w:rsidRPr="00206109">
        <w:rPr>
          <w:rFonts w:asciiTheme="minorHAnsi" w:hAnsiTheme="minorHAnsi" w:cstheme="minorHAnsi"/>
        </w:rPr>
        <w:t>.</w:t>
      </w:r>
    </w:p>
    <w:p w14:paraId="4FBE3F3B"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18" w:name="_Toc232759458"/>
      <w:r w:rsidRPr="003C4BBB">
        <w:rPr>
          <w:rFonts w:asciiTheme="minorHAnsi" w:hAnsiTheme="minorHAnsi" w:cstheme="minorHAnsi"/>
          <w:color w:val="767171" w:themeColor="background2" w:themeShade="80"/>
          <w:sz w:val="22"/>
          <w:szCs w:val="22"/>
        </w:rPr>
        <w:t>3.3. Formation et habilitation</w:t>
      </w:r>
      <w:bookmarkEnd w:id="18"/>
    </w:p>
    <w:p w14:paraId="35E7A71E"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Le titulaire s’engage à assurer la formation initiale et continue des personnels :</w:t>
      </w:r>
    </w:p>
    <w:p w14:paraId="1302FCC6" w14:textId="38663F67"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formation</w:t>
      </w:r>
      <w:proofErr w:type="gramEnd"/>
      <w:r w:rsidRPr="00206109">
        <w:rPr>
          <w:rFonts w:asciiTheme="minorHAnsi" w:hAnsiTheme="minorHAnsi" w:cstheme="minorHAnsi"/>
          <w:sz w:val="22"/>
          <w:szCs w:val="22"/>
        </w:rPr>
        <w:t xml:space="preserve"> des techniciens de laboratoire</w:t>
      </w:r>
      <w:r w:rsidR="00B24DF2">
        <w:rPr>
          <w:rFonts w:asciiTheme="minorHAnsi" w:hAnsiTheme="minorHAnsi" w:cstheme="minorHAnsi"/>
          <w:sz w:val="22"/>
          <w:szCs w:val="22"/>
        </w:rPr>
        <w:t>, qualiticiens</w:t>
      </w:r>
      <w:r w:rsidRPr="00206109">
        <w:rPr>
          <w:rFonts w:asciiTheme="minorHAnsi" w:hAnsiTheme="minorHAnsi" w:cstheme="minorHAnsi"/>
          <w:sz w:val="22"/>
          <w:szCs w:val="22"/>
        </w:rPr>
        <w:t xml:space="preserve"> et biologistes portant à la fois sur les gazomètres et sur le middleware (logiciel) proposé (utilisation, maintenance utilisateur, gestion qualité, administration) ;</w:t>
      </w:r>
    </w:p>
    <w:p w14:paraId="74A7E75B" w14:textId="05E0F992"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formation</w:t>
      </w:r>
      <w:proofErr w:type="gramEnd"/>
      <w:r w:rsidRPr="00206109">
        <w:rPr>
          <w:rFonts w:asciiTheme="minorHAnsi" w:hAnsiTheme="minorHAnsi" w:cstheme="minorHAnsi"/>
          <w:sz w:val="22"/>
          <w:szCs w:val="22"/>
        </w:rPr>
        <w:t xml:space="preserve"> des soignants utilisateurs (médecins — réanimateurs, anesthésistes et autres médecins prescripteurs ou utilisateurs —, IDE, </w:t>
      </w:r>
      <w:proofErr w:type="spellStart"/>
      <w:r w:rsidRPr="00206109">
        <w:rPr>
          <w:rFonts w:asciiTheme="minorHAnsi" w:hAnsiTheme="minorHAnsi" w:cstheme="minorHAnsi"/>
          <w:sz w:val="22"/>
          <w:szCs w:val="22"/>
        </w:rPr>
        <w:t>sages-femmes</w:t>
      </w:r>
      <w:proofErr w:type="spellEnd"/>
      <w:r w:rsidRPr="00206109">
        <w:rPr>
          <w:rFonts w:asciiTheme="minorHAnsi" w:hAnsiTheme="minorHAnsi" w:cstheme="minorHAnsi"/>
          <w:sz w:val="22"/>
          <w:szCs w:val="22"/>
        </w:rPr>
        <w:t>) ; les analyseurs sont utilisés par les personnels soignants des services listés au §2.6, représentant environ 2 100 droits actifs cumulés sur l’ensemble du parc (gazomètres + tiers, état au 06/02/2026)</w:t>
      </w:r>
      <w:r w:rsidR="002D6031">
        <w:rPr>
          <w:rFonts w:asciiTheme="minorHAnsi" w:hAnsiTheme="minorHAnsi" w:cstheme="minorHAnsi"/>
          <w:sz w:val="22"/>
          <w:szCs w:val="22"/>
        </w:rPr>
        <w:t> ;</w:t>
      </w:r>
    </w:p>
    <w:p w14:paraId="68638D6F" w14:textId="77777777"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r w:rsidRPr="00206109">
        <w:rPr>
          <w:rFonts w:asciiTheme="minorHAnsi" w:hAnsiTheme="minorHAnsi" w:cstheme="minorHAnsi"/>
          <w:sz w:val="22"/>
          <w:szCs w:val="22"/>
        </w:rPr>
        <w:t xml:space="preserve">fourniture d’un parcours d’habilitation et de formation tracé numériquement, comprenant la traçabilité des formations en présentiel et le passage de tests dans le cadre de la formation via le middleware, applicable à l’ensemble des analyseurs connectés au middleware — y compris les analyseurs tiers du parc de biologie délocalisée (cf. §2.6) — comprenant : activité minimale sur une période définie, récurrence par rapport à l’habilitation précédente (à noter : pour la plupart des analyseurs, les droits sont actuellement ouverts pour 6 mois afin de suivre les absences supérieures à 6 mois ; cette durée pouvant varier selon les middlewares, le candidat précisera les paramètres configurables de sa solution), nombre de tests réalisés sur 12 mois, taux d’erreurs sur 3 mois ; le quiz d’habilitation/réhabilitation sera assigné par le middleware, le contenu e-learning étant élaboré et mis à jour par les techniciens du CHU, le titulaire fournissant le support technique nécessaire à sa création et son hébergement. Le candidat démontrera explicitement, modèle par modèle, comment chacune de ces règles (activité minimale, récurrence par rapport à l’habilitation précédente, nombre </w:t>
      </w:r>
      <w:r w:rsidRPr="00206109">
        <w:rPr>
          <w:rFonts w:asciiTheme="minorHAnsi" w:hAnsiTheme="minorHAnsi" w:cstheme="minorHAnsi"/>
          <w:sz w:val="22"/>
          <w:szCs w:val="22"/>
        </w:rPr>
        <w:lastRenderedPageBreak/>
        <w:t>de tests réalisés sur 12 mois, taux d’erreurs sur 3 mois, quiz d’habilitation/réhabilitation) est mise en œuvre, conformément au tableau de synthèse ci-dessous ;</w:t>
      </w:r>
    </w:p>
    <w:p w14:paraId="4E35D36F" w14:textId="77777777"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documentation</w:t>
      </w:r>
      <w:proofErr w:type="gramEnd"/>
      <w:r w:rsidRPr="00206109">
        <w:rPr>
          <w:rFonts w:asciiTheme="minorHAnsi" w:hAnsiTheme="minorHAnsi" w:cstheme="minorHAnsi"/>
          <w:sz w:val="22"/>
          <w:szCs w:val="22"/>
        </w:rPr>
        <w:t xml:space="preserve"> en français, mise à disposition d’un support de formation, mise à jour permanente au fil des évolutions logicielles.</w:t>
      </w:r>
    </w:p>
    <w:p w14:paraId="01FD29B0"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La formation aux fonctionnalités du middleware sera différenciée par profil :</w:t>
      </w:r>
    </w:p>
    <w:p w14:paraId="6834E8AD" w14:textId="076E3281"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utilisateurs</w:t>
      </w:r>
      <w:proofErr w:type="gramEnd"/>
      <w:r w:rsidRPr="00206109">
        <w:rPr>
          <w:rFonts w:asciiTheme="minorHAnsi" w:hAnsiTheme="minorHAnsi" w:cstheme="minorHAnsi"/>
          <w:sz w:val="22"/>
          <w:szCs w:val="22"/>
        </w:rPr>
        <w:t xml:space="preserve"> gazomètres (techniciens PTA</w:t>
      </w:r>
      <w:r w:rsidR="00B24DF2">
        <w:rPr>
          <w:rFonts w:asciiTheme="minorHAnsi" w:hAnsiTheme="minorHAnsi" w:cstheme="minorHAnsi"/>
          <w:sz w:val="22"/>
          <w:szCs w:val="22"/>
        </w:rPr>
        <w:t>/</w:t>
      </w:r>
      <w:r w:rsidR="00205AA2">
        <w:rPr>
          <w:rFonts w:asciiTheme="minorHAnsi" w:hAnsiTheme="minorHAnsi" w:cstheme="minorHAnsi"/>
          <w:sz w:val="22"/>
          <w:szCs w:val="22"/>
        </w:rPr>
        <w:t>C</w:t>
      </w:r>
      <w:r w:rsidR="00B24DF2">
        <w:rPr>
          <w:rFonts w:asciiTheme="minorHAnsi" w:hAnsiTheme="minorHAnsi" w:cstheme="minorHAnsi"/>
          <w:sz w:val="22"/>
          <w:szCs w:val="22"/>
        </w:rPr>
        <w:t>ellule biologie délocalisée</w:t>
      </w:r>
      <w:r w:rsidRPr="00206109">
        <w:rPr>
          <w:rFonts w:asciiTheme="minorHAnsi" w:hAnsiTheme="minorHAnsi" w:cstheme="minorHAnsi"/>
          <w:sz w:val="22"/>
          <w:szCs w:val="22"/>
        </w:rPr>
        <w:t>, référents de service) : navigation, consultation des résultats, gestion quotidienne des CIQ, impression et réimpression, alertes ;</w:t>
      </w:r>
    </w:p>
    <w:p w14:paraId="50CF2757" w14:textId="319BE68B"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administrateurs</w:t>
      </w:r>
      <w:proofErr w:type="gramEnd"/>
      <w:r w:rsidRPr="00206109">
        <w:rPr>
          <w:rFonts w:asciiTheme="minorHAnsi" w:hAnsiTheme="minorHAnsi" w:cstheme="minorHAnsi"/>
          <w:sz w:val="22"/>
          <w:szCs w:val="22"/>
        </w:rPr>
        <w:t xml:space="preserve"> EBMD (</w:t>
      </w:r>
      <w:r w:rsidR="00A44E79">
        <w:rPr>
          <w:rFonts w:asciiTheme="minorHAnsi" w:hAnsiTheme="minorHAnsi" w:cstheme="minorHAnsi"/>
          <w:sz w:val="22"/>
          <w:szCs w:val="22"/>
        </w:rPr>
        <w:t>cellule</w:t>
      </w:r>
      <w:r w:rsidRPr="00206109">
        <w:rPr>
          <w:rFonts w:asciiTheme="minorHAnsi" w:hAnsiTheme="minorHAnsi" w:cstheme="minorHAnsi"/>
          <w:sz w:val="22"/>
          <w:szCs w:val="22"/>
        </w:rPr>
        <w:t xml:space="preserve"> de biologie médicale délocalisée) : gestion des habilitations et des droits, suivi des performances analytiques (tableaux de bord, exports), connexion et paramétrage d’un nouvel analyseur, gestion des lots et des alertes de stock, administration des utilisateurs.</w:t>
      </w:r>
    </w:p>
    <w:p w14:paraId="36251411"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Le candidat précisera dans son mémoire technique le nombre d’heures de formation initiale par niveau d’utilisateur (opérateur/soignant, technicien/biologiste, référent qualité, administrateur du middleware), le nombre de sessions de formation continue annuelles, et les modalités de formation des nouveaux entrants tout au long du marché.</w:t>
      </w:r>
    </w:p>
    <w:p w14:paraId="477F9363"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Le candidat précisera le nombre de sessions de formation middleware prévues par profil, leur format (présentiel, distanciel, e-learning) et les modalités de formation des nouveaux référents désignés en cours de marché.</w:t>
      </w:r>
    </w:p>
    <w:p w14:paraId="0446142F"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Le candidat précisera en outre :</w:t>
      </w:r>
    </w:p>
    <w:p w14:paraId="0F81130A" w14:textId="77777777"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le</w:t>
      </w:r>
      <w:proofErr w:type="gramEnd"/>
      <w:r w:rsidRPr="00206109">
        <w:rPr>
          <w:rFonts w:asciiTheme="minorHAnsi" w:hAnsiTheme="minorHAnsi" w:cstheme="minorHAnsi"/>
          <w:sz w:val="22"/>
          <w:szCs w:val="22"/>
        </w:rPr>
        <w:t xml:space="preserve"> nombre de formateurs/intervenants mobilisés par site et par service pendant les phases d’installation et de formation ;</w:t>
      </w:r>
    </w:p>
    <w:p w14:paraId="65C41071" w14:textId="77777777"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la</w:t>
      </w:r>
      <w:proofErr w:type="gramEnd"/>
      <w:r w:rsidRPr="00206109">
        <w:rPr>
          <w:rFonts w:asciiTheme="minorHAnsi" w:hAnsiTheme="minorHAnsi" w:cstheme="minorHAnsi"/>
          <w:sz w:val="22"/>
          <w:szCs w:val="22"/>
        </w:rPr>
        <w:t xml:space="preserve"> durée de formation prévue par service, en indiquant si les sessions sont conduites simultanément (plusieurs services en parallèle) ou séquentiellement, avec le calendrier prévisionnel correspondant ;</w:t>
      </w:r>
    </w:p>
    <w:p w14:paraId="2DB7A687" w14:textId="77777777" w:rsidR="00206109" w:rsidRPr="00206109" w:rsidRDefault="00206109" w:rsidP="00206109">
      <w:pPr>
        <w:pStyle w:val="font-claude-response-body"/>
        <w:keepNext/>
        <w:numPr>
          <w:ilvl w:val="0"/>
          <w:numId w:val="31"/>
        </w:numPr>
        <w:jc w:val="both"/>
        <w:rPr>
          <w:rFonts w:asciiTheme="minorHAnsi" w:hAnsiTheme="minorHAnsi" w:cstheme="minorHAnsi"/>
          <w:sz w:val="22"/>
          <w:szCs w:val="22"/>
        </w:rPr>
      </w:pPr>
      <w:proofErr w:type="gramStart"/>
      <w:r w:rsidRPr="00206109">
        <w:rPr>
          <w:rFonts w:asciiTheme="minorHAnsi" w:hAnsiTheme="minorHAnsi" w:cstheme="minorHAnsi"/>
          <w:sz w:val="22"/>
          <w:szCs w:val="22"/>
        </w:rPr>
        <w:t>la</w:t>
      </w:r>
      <w:proofErr w:type="gramEnd"/>
      <w:r w:rsidRPr="00206109">
        <w:rPr>
          <w:rFonts w:asciiTheme="minorHAnsi" w:hAnsiTheme="minorHAnsi" w:cstheme="minorHAnsi"/>
          <w:sz w:val="22"/>
          <w:szCs w:val="22"/>
        </w:rPr>
        <w:t xml:space="preserve"> durée de présence sur site, par service et/ou par site, assurée après le go-live (mise en production), afin d’accompagner les utilisateurs en conditions réelles et de sécuriser le démarrage, notamment pour les équipes de nuit et de week-end.</w:t>
      </w:r>
    </w:p>
    <w:p w14:paraId="797C5CF6"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 xml:space="preserve">Le candidat précisera s’il assure un suivi applicatif sur site postérieur à la mise en production et, le cas échéant, sa fréquence (mensuelle, trimestrielle, annuelle…), sa durée sur le marché et ses modalités (sur site / à distance). Il indiquera s’il prend en charge la formation des nouveaux référents désignés dans les </w:t>
      </w:r>
      <w:r w:rsidRPr="00206109">
        <w:rPr>
          <w:rFonts w:asciiTheme="minorHAnsi" w:hAnsiTheme="minorHAnsi" w:cstheme="minorHAnsi"/>
          <w:sz w:val="22"/>
          <w:szCs w:val="22"/>
        </w:rPr>
        <w:lastRenderedPageBreak/>
        <w:t>services au cours des 8 années du marché (et non la seule formation initiale), ainsi que les modalités de ces formations.</w:t>
      </w:r>
    </w:p>
    <w:p w14:paraId="330733FE" w14:textId="77777777" w:rsidR="00206109" w:rsidRPr="00206109" w:rsidRDefault="00206109" w:rsidP="00206109">
      <w:pPr>
        <w:pStyle w:val="font-claude-response-body"/>
        <w:keepNext/>
        <w:jc w:val="both"/>
        <w:rPr>
          <w:rFonts w:asciiTheme="minorHAnsi" w:hAnsiTheme="minorHAnsi" w:cstheme="minorHAnsi"/>
          <w:sz w:val="22"/>
          <w:szCs w:val="22"/>
        </w:rPr>
      </w:pPr>
      <w:r w:rsidRPr="00206109">
        <w:rPr>
          <w:rFonts w:asciiTheme="minorHAnsi" w:hAnsiTheme="minorHAnsi" w:cstheme="minorHAnsi"/>
          <w:sz w:val="22"/>
          <w:szCs w:val="22"/>
        </w:rPr>
        <w:t>Le candidat formalisera sa réponse dans le tableau de synthèse ci-dessous, renseigné case par case (Oui / Non / Partiel). Toute capacité déclarée « Non » ou « Partiel » sera accompagnée de la solution organisationnelle compensatoire proposée.</w:t>
      </w:r>
    </w:p>
    <w:p w14:paraId="78E8BAEA" w14:textId="77777777" w:rsidR="00206109" w:rsidRPr="00206109" w:rsidRDefault="00684439" w:rsidP="00206109">
      <w:pPr>
        <w:pStyle w:val="font-claude-response-body"/>
        <w:keepNext/>
        <w:jc w:val="both"/>
        <w:rPr>
          <w:rFonts w:asciiTheme="minorHAnsi" w:hAnsiTheme="minorHAnsi" w:cstheme="minorHAnsi"/>
        </w:rPr>
      </w:pPr>
      <w:r w:rsidRPr="00206109">
        <w:rPr>
          <w:rFonts w:asciiTheme="minorHAnsi" w:hAnsiTheme="minorHAnsi" w:cstheme="minorHAnsi"/>
          <w:noProof/>
          <w:sz w:val="22"/>
          <w:szCs w:val="22"/>
        </w:rPr>
        <w:drawing>
          <wp:inline distT="0" distB="0" distL="0" distR="0" wp14:anchorId="5F3ED77C" wp14:editId="5823C37C">
            <wp:extent cx="5909310" cy="1142365"/>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09310" cy="1142365"/>
                    </a:xfrm>
                    <a:prstGeom prst="rect">
                      <a:avLst/>
                    </a:prstGeom>
                  </pic:spPr>
                </pic:pic>
              </a:graphicData>
            </a:graphic>
          </wp:inline>
        </w:drawing>
      </w:r>
    </w:p>
    <w:p w14:paraId="11DCAA7D" w14:textId="609434D3" w:rsidR="00684439" w:rsidRPr="00684439" w:rsidRDefault="00206109" w:rsidP="00D06911">
      <w:pPr>
        <w:pStyle w:val="Lgende"/>
        <w:jc w:val="both"/>
        <w:rPr>
          <w:rFonts w:asciiTheme="minorHAnsi" w:hAnsiTheme="minorHAnsi" w:cstheme="minorHAnsi"/>
          <w:sz w:val="22"/>
          <w:szCs w:val="22"/>
        </w:rPr>
      </w:pPr>
      <w:r w:rsidRPr="00206109">
        <w:rPr>
          <w:rFonts w:asciiTheme="minorHAnsi" w:hAnsiTheme="minorHAnsi" w:cstheme="minorHAnsi"/>
        </w:rPr>
        <w:t xml:space="preserve">Figure </w:t>
      </w:r>
      <w:r w:rsidRPr="00206109">
        <w:rPr>
          <w:rFonts w:asciiTheme="minorHAnsi" w:hAnsiTheme="minorHAnsi" w:cstheme="minorHAnsi"/>
        </w:rPr>
        <w:fldChar w:fldCharType="begin"/>
      </w:r>
      <w:r w:rsidRPr="00206109">
        <w:rPr>
          <w:rFonts w:asciiTheme="minorHAnsi" w:hAnsiTheme="minorHAnsi" w:cstheme="minorHAnsi"/>
        </w:rPr>
        <w:instrText xml:space="preserve"> SEQ Figure \* ARABIC </w:instrText>
      </w:r>
      <w:r w:rsidRPr="00206109">
        <w:rPr>
          <w:rFonts w:asciiTheme="minorHAnsi" w:hAnsiTheme="minorHAnsi" w:cstheme="minorHAnsi"/>
        </w:rPr>
        <w:fldChar w:fldCharType="separate"/>
      </w:r>
      <w:r w:rsidR="00352778">
        <w:rPr>
          <w:rFonts w:asciiTheme="minorHAnsi" w:hAnsiTheme="minorHAnsi" w:cstheme="minorHAnsi"/>
          <w:noProof/>
        </w:rPr>
        <w:t>1</w:t>
      </w:r>
      <w:r w:rsidRPr="00206109">
        <w:rPr>
          <w:rFonts w:asciiTheme="minorHAnsi" w:hAnsiTheme="minorHAnsi" w:cstheme="minorHAnsi"/>
        </w:rPr>
        <w:fldChar w:fldCharType="end"/>
      </w:r>
      <w:r w:rsidRPr="00206109">
        <w:rPr>
          <w:rFonts w:asciiTheme="minorHAnsi" w:hAnsiTheme="minorHAnsi" w:cstheme="minorHAnsi"/>
          <w:noProof/>
        </w:rPr>
        <w:t>Tableau — Démonstration des règles d’habilitation par modèle d’analyseur. À compléter par le candidat.</w:t>
      </w:r>
    </w:p>
    <w:p w14:paraId="5C78A4D7" w14:textId="77777777" w:rsidR="0086323F" w:rsidRPr="00206109" w:rsidRDefault="00964243">
      <w:pPr>
        <w:pStyle w:val="Titre1"/>
        <w:rPr>
          <w:rFonts w:asciiTheme="minorHAnsi" w:hAnsiTheme="minorHAnsi" w:cstheme="minorHAnsi"/>
        </w:rPr>
      </w:pPr>
      <w:bookmarkStart w:id="19" w:name="_Toc232759459"/>
      <w:r w:rsidRPr="00206109">
        <w:rPr>
          <w:rFonts w:asciiTheme="minorHAnsi" w:hAnsiTheme="minorHAnsi" w:cstheme="minorHAnsi"/>
        </w:rPr>
        <w:t>4. Performances instrumentales attendues</w:t>
      </w:r>
      <w:bookmarkEnd w:id="19"/>
    </w:p>
    <w:p w14:paraId="1B58ABA4"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20" w:name="_Toc232759460"/>
      <w:r w:rsidRPr="003C4BBB">
        <w:rPr>
          <w:rFonts w:asciiTheme="minorHAnsi" w:hAnsiTheme="minorHAnsi" w:cstheme="minorHAnsi"/>
          <w:color w:val="767171" w:themeColor="background2" w:themeShade="80"/>
          <w:sz w:val="22"/>
          <w:szCs w:val="22"/>
        </w:rPr>
        <w:t>4.1. Performances analytiques attendues</w:t>
      </w:r>
      <w:bookmarkEnd w:id="20"/>
    </w:p>
    <w:p w14:paraId="33BD7CC2"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dimensionnement du parc devra permettre l’absorption des volumes de production prévus avec un objectif de continuité de service maximal. À titre indicatif, l’objectif est un MTBF (temps moyen entre pannes) &gt; 900 jours par analyseur sur la durée du marché, avec un taux d’interventions sur panne bloquante &lt; 2 par an sur l’ensemble du parc.</w:t>
      </w:r>
    </w:p>
    <w:p w14:paraId="0767F193"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Les paramètres à mesurer (a minima) sont :</w:t>
      </w:r>
    </w:p>
    <w:p w14:paraId="39AB58BD"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rPr>
        <w:t xml:space="preserve">Gaz du sang : pH, </w:t>
      </w:r>
      <w:proofErr w:type="spellStart"/>
      <w:r w:rsidRPr="00206109">
        <w:rPr>
          <w:rFonts w:asciiTheme="minorHAnsi" w:hAnsiTheme="minorHAnsi" w:cstheme="minorHAnsi"/>
        </w:rPr>
        <w:t>pCO</w:t>
      </w:r>
      <w:proofErr w:type="spellEnd"/>
      <w:r w:rsidRPr="00206109">
        <w:rPr>
          <w:rFonts w:asciiTheme="minorHAnsi" w:hAnsiTheme="minorHAnsi" w:cstheme="minorHAnsi"/>
        </w:rPr>
        <w:t xml:space="preserve">₂, </w:t>
      </w:r>
      <w:proofErr w:type="spellStart"/>
      <w:r w:rsidRPr="00206109">
        <w:rPr>
          <w:rFonts w:asciiTheme="minorHAnsi" w:hAnsiTheme="minorHAnsi" w:cstheme="minorHAnsi"/>
        </w:rPr>
        <w:t>pO</w:t>
      </w:r>
      <w:proofErr w:type="spellEnd"/>
      <w:r w:rsidRPr="00206109">
        <w:rPr>
          <w:rFonts w:asciiTheme="minorHAnsi" w:hAnsiTheme="minorHAnsi" w:cstheme="minorHAnsi"/>
        </w:rPr>
        <w:t>₂</w:t>
      </w:r>
    </w:p>
    <w:p w14:paraId="7D78174F"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rPr>
        <w:t xml:space="preserve">Électrolytes : Na⁺, K⁺, Cl⁻, </w:t>
      </w:r>
      <w:proofErr w:type="gramStart"/>
      <w:r w:rsidRPr="00206109">
        <w:rPr>
          <w:rFonts w:asciiTheme="minorHAnsi" w:hAnsiTheme="minorHAnsi" w:cstheme="minorHAnsi"/>
        </w:rPr>
        <w:t>Ca</w:t>
      </w:r>
      <w:proofErr w:type="gramEnd"/>
      <w:r w:rsidRPr="00206109">
        <w:rPr>
          <w:rFonts w:asciiTheme="minorHAnsi" w:hAnsiTheme="minorHAnsi" w:cstheme="minorHAnsi"/>
        </w:rPr>
        <w:t>²⁺</w:t>
      </w:r>
    </w:p>
    <w:p w14:paraId="03232AF0"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rPr>
        <w:t>Métabolites : glucose, lactate</w:t>
      </w:r>
    </w:p>
    <w:p w14:paraId="7732E8C4"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rPr>
        <w:t>Hématocrite (</w:t>
      </w:r>
      <w:proofErr w:type="spellStart"/>
      <w:r w:rsidRPr="00206109">
        <w:rPr>
          <w:rFonts w:asciiTheme="minorHAnsi" w:hAnsiTheme="minorHAnsi" w:cstheme="minorHAnsi"/>
        </w:rPr>
        <w:t>Hct</w:t>
      </w:r>
      <w:proofErr w:type="spellEnd"/>
      <w:r w:rsidRPr="00206109">
        <w:rPr>
          <w:rFonts w:asciiTheme="minorHAnsi" w:hAnsiTheme="minorHAnsi" w:cstheme="minorHAnsi"/>
        </w:rPr>
        <w:t>)</w:t>
      </w:r>
    </w:p>
    <w:p w14:paraId="77188E27"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rPr>
        <w:t xml:space="preserve">Co-oxymétrie : </w:t>
      </w:r>
      <w:proofErr w:type="spellStart"/>
      <w:r w:rsidRPr="00206109">
        <w:rPr>
          <w:rFonts w:asciiTheme="minorHAnsi" w:hAnsiTheme="minorHAnsi" w:cstheme="minorHAnsi"/>
        </w:rPr>
        <w:t>tHb</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COHb</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MetHb</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O₂Hb</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HHb</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sO</w:t>
      </w:r>
      <w:proofErr w:type="spellEnd"/>
      <w:r w:rsidRPr="00206109">
        <w:rPr>
          <w:rFonts w:asciiTheme="minorHAnsi" w:hAnsiTheme="minorHAnsi" w:cstheme="minorHAnsi"/>
        </w:rPr>
        <w:t>₂</w:t>
      </w:r>
    </w:p>
    <w:p w14:paraId="0412751E" w14:textId="77777777" w:rsidR="0086323F" w:rsidRPr="00206109" w:rsidRDefault="00964243">
      <w:pPr>
        <w:pStyle w:val="Paragraphedeliste"/>
        <w:numPr>
          <w:ilvl w:val="0"/>
          <w:numId w:val="2"/>
        </w:numPr>
        <w:spacing w:after="80"/>
        <w:jc w:val="both"/>
        <w:rPr>
          <w:rFonts w:asciiTheme="minorHAnsi" w:hAnsiTheme="minorHAnsi" w:cstheme="minorHAnsi"/>
        </w:rPr>
      </w:pPr>
      <w:r w:rsidRPr="00206109">
        <w:rPr>
          <w:rFonts w:asciiTheme="minorHAnsi" w:hAnsiTheme="minorHAnsi" w:cstheme="minorHAnsi"/>
        </w:rPr>
        <w:t>Bilirubine néonatale / totale (</w:t>
      </w:r>
      <w:proofErr w:type="spellStart"/>
      <w:r w:rsidRPr="00206109">
        <w:rPr>
          <w:rFonts w:asciiTheme="minorHAnsi" w:hAnsiTheme="minorHAnsi" w:cstheme="minorHAnsi"/>
        </w:rPr>
        <w:t>nBili</w:t>
      </w:r>
      <w:proofErr w:type="spellEnd"/>
      <w:r w:rsidRPr="00206109">
        <w:rPr>
          <w:rFonts w:asciiTheme="minorHAnsi" w:hAnsiTheme="minorHAnsi" w:cstheme="minorHAnsi"/>
        </w:rPr>
        <w:t xml:space="preserve"> / </w:t>
      </w:r>
      <w:proofErr w:type="spellStart"/>
      <w:r w:rsidRPr="00206109">
        <w:rPr>
          <w:rFonts w:asciiTheme="minorHAnsi" w:hAnsiTheme="minorHAnsi" w:cstheme="minorHAnsi"/>
        </w:rPr>
        <w:t>tBili</w:t>
      </w:r>
      <w:proofErr w:type="spellEnd"/>
      <w:r w:rsidRPr="00206109">
        <w:rPr>
          <w:rFonts w:asciiTheme="minorHAnsi" w:hAnsiTheme="minorHAnsi" w:cstheme="minorHAnsi"/>
        </w:rPr>
        <w:t>)</w:t>
      </w:r>
    </w:p>
    <w:p w14:paraId="59E0AFF3" w14:textId="48FEB9FE" w:rsidR="00903DE5" w:rsidRPr="00206109" w:rsidRDefault="00903DE5">
      <w:pPr>
        <w:spacing w:after="120"/>
        <w:jc w:val="both"/>
        <w:rPr>
          <w:rFonts w:asciiTheme="minorHAnsi" w:hAnsiTheme="minorHAnsi" w:cstheme="minorHAnsi"/>
        </w:rPr>
      </w:pPr>
    </w:p>
    <w:p w14:paraId="2121DC3F" w14:textId="77777777" w:rsidR="00903DE5" w:rsidRPr="00206109" w:rsidRDefault="00903DE5" w:rsidP="00903DE5">
      <w:pPr>
        <w:spacing w:after="120"/>
        <w:jc w:val="both"/>
        <w:rPr>
          <w:rFonts w:asciiTheme="minorHAnsi" w:hAnsiTheme="minorHAnsi" w:cstheme="minorHAnsi"/>
        </w:rPr>
      </w:pPr>
      <w:r w:rsidRPr="00206109">
        <w:rPr>
          <w:rFonts w:asciiTheme="minorHAnsi" w:hAnsiTheme="minorHAnsi" w:cstheme="minorHAnsi"/>
        </w:rPr>
        <w:t xml:space="preserve">Le candidat listera l'ensemble des paramètres calculés disponibles en standard (gradient alvéolo-artériel, rapport </w:t>
      </w:r>
      <w:proofErr w:type="spellStart"/>
      <w:r w:rsidRPr="00206109">
        <w:rPr>
          <w:rFonts w:asciiTheme="minorHAnsi" w:hAnsiTheme="minorHAnsi" w:cstheme="minorHAnsi"/>
        </w:rPr>
        <w:t>PaO</w:t>
      </w:r>
      <w:proofErr w:type="spellEnd"/>
      <w:r w:rsidRPr="00206109">
        <w:rPr>
          <w:rFonts w:asciiTheme="minorHAnsi" w:hAnsiTheme="minorHAnsi" w:cstheme="minorHAnsi"/>
        </w:rPr>
        <w:t>₂/</w:t>
      </w:r>
      <w:proofErr w:type="spellStart"/>
      <w:r w:rsidRPr="00206109">
        <w:rPr>
          <w:rFonts w:asciiTheme="minorHAnsi" w:hAnsiTheme="minorHAnsi" w:cstheme="minorHAnsi"/>
        </w:rPr>
        <w:t>FiO</w:t>
      </w:r>
      <w:proofErr w:type="spellEnd"/>
      <w:r w:rsidRPr="00206109">
        <w:rPr>
          <w:rFonts w:asciiTheme="minorHAnsi" w:hAnsiTheme="minorHAnsi" w:cstheme="minorHAnsi"/>
        </w:rPr>
        <w:t>₂, bicarbonates, excès de base, osmolalité calculée, etc.) et précisera ceux pouvant être configurés ou activés à la demande du CHU.</w:t>
      </w:r>
    </w:p>
    <w:p w14:paraId="2B0B1B61" w14:textId="77777777" w:rsidR="00903DE5" w:rsidRPr="00206109" w:rsidRDefault="00903DE5" w:rsidP="00903DE5">
      <w:pPr>
        <w:spacing w:after="120"/>
        <w:jc w:val="both"/>
        <w:rPr>
          <w:rFonts w:asciiTheme="minorHAnsi" w:hAnsiTheme="minorHAnsi" w:cstheme="minorHAnsi"/>
        </w:rPr>
      </w:pPr>
      <w:r w:rsidRPr="00206109">
        <w:rPr>
          <w:rFonts w:asciiTheme="minorHAnsi" w:hAnsiTheme="minorHAnsi" w:cstheme="minorHAnsi"/>
        </w:rPr>
        <w:t>Les analyseurs devront accepter au minimum les volumes d'échantillon suivants : capillaire ≤ 100 µL. Le mode capillaire (notamment pour la néonatalogie en maternité et à l'hôpital des enfants) est obligatoire. Le candidat précisera le temps d'analyse (délai entre introduction de l'échantillon et affichage des résultats) et le délai minimal entre deux gazométries successives, notamment en cas de passage de CIQ ou de calibration intercurrente. Il décrira également le système de détection des caillots (principe, sensibilité, comportement de l'analyseur en cas de détection : blocage du résultat, alarme, procédure de nettoyage) ainsi que les mécanismes de détection et de gestion des substances interférentes (endogènes et exogènes), paramètre par paramètre.</w:t>
      </w:r>
    </w:p>
    <w:p w14:paraId="64261E72" w14:textId="29C95C69" w:rsidR="00903DE5" w:rsidRPr="00206109" w:rsidRDefault="00903DE5" w:rsidP="00903DE5">
      <w:pPr>
        <w:spacing w:after="120"/>
        <w:jc w:val="both"/>
        <w:rPr>
          <w:rFonts w:asciiTheme="minorHAnsi" w:hAnsiTheme="minorHAnsi" w:cstheme="minorHAnsi"/>
        </w:rPr>
      </w:pPr>
      <w:r w:rsidRPr="00206109">
        <w:rPr>
          <w:rFonts w:asciiTheme="minorHAnsi" w:hAnsiTheme="minorHAnsi" w:cstheme="minorHAnsi"/>
        </w:rPr>
        <w:t>L'analyseur devra être marqué CE-IVD pour l'analyse sur sang total. Le marquage CE-IVD pour l'analyse sur liquide pleural sera précisé. Le titulaire précisera la prise en charge des autres matrices / échantillons y compris l</w:t>
      </w:r>
      <w:r w:rsidR="00A44E79">
        <w:rPr>
          <w:rFonts w:asciiTheme="minorHAnsi" w:hAnsiTheme="minorHAnsi" w:cstheme="minorHAnsi"/>
        </w:rPr>
        <w:t>’</w:t>
      </w:r>
      <w:r w:rsidRPr="00206109">
        <w:rPr>
          <w:rFonts w:asciiTheme="minorHAnsi" w:hAnsiTheme="minorHAnsi" w:cstheme="minorHAnsi"/>
        </w:rPr>
        <w:t>ionogramme sur plasma sanguin et le détaillera dans son offre.</w:t>
      </w:r>
    </w:p>
    <w:p w14:paraId="256ADCD3" w14:textId="77777777" w:rsidR="00903DE5" w:rsidRPr="00206109" w:rsidRDefault="00903DE5" w:rsidP="00903DE5">
      <w:pPr>
        <w:spacing w:after="120"/>
        <w:jc w:val="both"/>
        <w:rPr>
          <w:rFonts w:asciiTheme="minorHAnsi" w:hAnsiTheme="minorHAnsi" w:cstheme="minorHAnsi"/>
        </w:rPr>
      </w:pPr>
      <w:r w:rsidRPr="00206109">
        <w:rPr>
          <w:rFonts w:asciiTheme="minorHAnsi" w:hAnsiTheme="minorHAnsi" w:cstheme="minorHAnsi"/>
        </w:rPr>
        <w:lastRenderedPageBreak/>
        <w:t>Le titulaire précisera la fréquence et durée des étalonnages (totaux, en 2 points, en 1 point) et la possibilité d'interrompre une calibration pour traiter un échantillon urgent.</w:t>
      </w:r>
    </w:p>
    <w:p w14:paraId="0FA6433A" w14:textId="7CCD7B45" w:rsidR="00903DE5" w:rsidRPr="00206109" w:rsidRDefault="00903DE5" w:rsidP="00903DE5">
      <w:pPr>
        <w:spacing w:after="120"/>
        <w:jc w:val="both"/>
        <w:rPr>
          <w:rFonts w:asciiTheme="minorHAnsi" w:hAnsiTheme="minorHAnsi" w:cstheme="minorHAnsi"/>
        </w:rPr>
      </w:pPr>
      <w:r w:rsidRPr="00206109">
        <w:rPr>
          <w:rFonts w:asciiTheme="minorHAnsi" w:hAnsiTheme="minorHAnsi" w:cstheme="minorHAnsi"/>
        </w:rPr>
        <w:t xml:space="preserve">Le titulaire précisera les natures de prélèvement gérées par l'analyseur et le middleware. Au-delà des types usuels (artériel, veineux, capillaire), la solution devra permettre la création et le paramétrage de natures spécifiques au CHU de Toulouse — notamment post-filtre, ECMO, cordon artériel, cordon veineux, scalp, liquide pleural. Le candidat décrira la capacité à coder ces natures et à les transmettre vers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ainsi que les éventuelles limites (nombre de natures paramétrables, libellés, mapping requis avec le SIL). Le candidat précisera également : la possibilité de saisir la </w:t>
      </w:r>
      <w:proofErr w:type="spellStart"/>
      <w:r w:rsidRPr="00206109">
        <w:rPr>
          <w:rFonts w:asciiTheme="minorHAnsi" w:hAnsiTheme="minorHAnsi" w:cstheme="minorHAnsi"/>
        </w:rPr>
        <w:t>FiO</w:t>
      </w:r>
      <w:proofErr w:type="spellEnd"/>
      <w:r w:rsidRPr="00206109">
        <w:rPr>
          <w:rFonts w:asciiTheme="minorHAnsi" w:hAnsiTheme="minorHAnsi" w:cstheme="minorHAnsi"/>
        </w:rPr>
        <w:t xml:space="preserve">₂ dans l'analyseur et de l'intégrer au calcul des paramètres dérivés ; la possibilité de modifier la température corporelle a posteriori sur un résultat déjà rendu, avec recalcul des paramètres </w:t>
      </w:r>
      <w:proofErr w:type="spellStart"/>
      <w:r w:rsidRPr="00206109">
        <w:rPr>
          <w:rFonts w:asciiTheme="minorHAnsi" w:hAnsiTheme="minorHAnsi" w:cstheme="minorHAnsi"/>
        </w:rPr>
        <w:t>temperature-corrected</w:t>
      </w:r>
      <w:proofErr w:type="spellEnd"/>
      <w:r w:rsidRPr="00206109">
        <w:rPr>
          <w:rFonts w:asciiTheme="minorHAnsi" w:hAnsiTheme="minorHAnsi" w:cstheme="minorHAnsi"/>
        </w:rPr>
        <w:t xml:space="preserve"> (pH(T), </w:t>
      </w:r>
      <w:proofErr w:type="spellStart"/>
      <w:r w:rsidRPr="00206109">
        <w:rPr>
          <w:rFonts w:asciiTheme="minorHAnsi" w:hAnsiTheme="minorHAnsi" w:cstheme="minorHAnsi"/>
        </w:rPr>
        <w:t>pO</w:t>
      </w:r>
      <w:proofErr w:type="spellEnd"/>
      <w:r w:rsidRPr="00206109">
        <w:rPr>
          <w:rFonts w:asciiTheme="minorHAnsi" w:hAnsiTheme="minorHAnsi" w:cstheme="minorHAnsi"/>
        </w:rPr>
        <w:t xml:space="preserve">₂(T), </w:t>
      </w:r>
      <w:proofErr w:type="spellStart"/>
      <w:r w:rsidRPr="00206109">
        <w:rPr>
          <w:rFonts w:asciiTheme="minorHAnsi" w:hAnsiTheme="minorHAnsi" w:cstheme="minorHAnsi"/>
        </w:rPr>
        <w:t>pCO</w:t>
      </w:r>
      <w:proofErr w:type="spellEnd"/>
      <w:r w:rsidRPr="00206109">
        <w:rPr>
          <w:rFonts w:asciiTheme="minorHAnsi" w:hAnsiTheme="minorHAnsi" w:cstheme="minorHAnsi"/>
        </w:rPr>
        <w:t xml:space="preserve">₂(T)) et renvoi automatique des valeurs corrigées vers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w:t>
      </w:r>
    </w:p>
    <w:p w14:paraId="49A043E7" w14:textId="77777777" w:rsidR="0086323F" w:rsidRPr="00206109" w:rsidRDefault="00964243">
      <w:pPr>
        <w:pStyle w:val="Titre2"/>
        <w:rPr>
          <w:rFonts w:asciiTheme="minorHAnsi" w:hAnsiTheme="minorHAnsi" w:cstheme="minorHAnsi"/>
        </w:rPr>
      </w:pPr>
      <w:bookmarkStart w:id="21" w:name="_Toc232759461"/>
      <w:r w:rsidRPr="00206109">
        <w:rPr>
          <w:rFonts w:asciiTheme="minorHAnsi" w:hAnsiTheme="minorHAnsi" w:cstheme="minorHAnsi"/>
        </w:rPr>
        <w:t>4.2. Documentations techniques</w:t>
      </w:r>
      <w:bookmarkEnd w:id="21"/>
    </w:p>
    <w:p w14:paraId="2459D055" w14:textId="77777777" w:rsidR="0086323F" w:rsidRPr="003C4BBB" w:rsidRDefault="00964243">
      <w:pPr>
        <w:pStyle w:val="Titre3"/>
        <w:rPr>
          <w:rFonts w:asciiTheme="minorHAnsi" w:hAnsiTheme="minorHAnsi" w:cstheme="minorHAnsi"/>
          <w:sz w:val="22"/>
          <w:szCs w:val="22"/>
        </w:rPr>
      </w:pPr>
      <w:bookmarkStart w:id="22" w:name="_Toc232759462"/>
      <w:r w:rsidRPr="003C4BBB">
        <w:rPr>
          <w:rFonts w:asciiTheme="minorHAnsi" w:hAnsiTheme="minorHAnsi" w:cstheme="minorHAnsi"/>
          <w:sz w:val="22"/>
          <w:szCs w:val="22"/>
        </w:rPr>
        <w:t>4.2.1. Utilisation de l’instrument</w:t>
      </w:r>
      <w:bookmarkEnd w:id="22"/>
    </w:p>
    <w:p w14:paraId="249A176F"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candidat décrira dans son offre une journée type comprenant :</w:t>
      </w:r>
    </w:p>
    <w:p w14:paraId="4681CCE6"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maintenance</w:t>
      </w:r>
      <w:proofErr w:type="gramEnd"/>
      <w:r w:rsidRPr="00206109">
        <w:rPr>
          <w:rFonts w:asciiTheme="minorHAnsi" w:hAnsiTheme="minorHAnsi" w:cstheme="minorHAnsi"/>
        </w:rPr>
        <w:t xml:space="preserve"> quotidienne, hebdomadaire et mensuelle (détail et durée) ;</w:t>
      </w:r>
    </w:p>
    <w:p w14:paraId="7C9E69A5"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préparation</w:t>
      </w:r>
      <w:proofErr w:type="gramEnd"/>
      <w:r w:rsidRPr="00206109">
        <w:rPr>
          <w:rFonts w:asciiTheme="minorHAnsi" w:hAnsiTheme="minorHAnsi" w:cstheme="minorHAnsi"/>
        </w:rPr>
        <w:t xml:space="preserve"> de l’instrument ;</w:t>
      </w:r>
    </w:p>
    <w:p w14:paraId="6447D3D4"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passage</w:t>
      </w:r>
      <w:proofErr w:type="gramEnd"/>
      <w:r w:rsidRPr="00206109">
        <w:rPr>
          <w:rFonts w:asciiTheme="minorHAnsi" w:hAnsiTheme="minorHAnsi" w:cstheme="minorHAnsi"/>
        </w:rPr>
        <w:t xml:space="preserve"> des échantillons ;</w:t>
      </w:r>
    </w:p>
    <w:p w14:paraId="329653A5"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contrôles</w:t>
      </w:r>
      <w:proofErr w:type="gramEnd"/>
      <w:r w:rsidRPr="00206109">
        <w:rPr>
          <w:rFonts w:asciiTheme="minorHAnsi" w:hAnsiTheme="minorHAnsi" w:cstheme="minorHAnsi"/>
        </w:rPr>
        <w:t xml:space="preserve"> internes de qualité (a minima 3 passages / jour / analyseur sur 365 jours) ;</w:t>
      </w:r>
    </w:p>
    <w:p w14:paraId="4C139C6F"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maintenance</w:t>
      </w:r>
      <w:proofErr w:type="gramEnd"/>
      <w:r w:rsidRPr="00206109">
        <w:rPr>
          <w:rFonts w:asciiTheme="minorHAnsi" w:hAnsiTheme="minorHAnsi" w:cstheme="minorHAnsi"/>
        </w:rPr>
        <w:t xml:space="preserve"> de fin de journée.</w:t>
      </w:r>
    </w:p>
    <w:p w14:paraId="276530B5" w14:textId="760464ED"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Un chronogramme sera demandé.</w:t>
      </w:r>
    </w:p>
    <w:p w14:paraId="179842EF" w14:textId="04A41305" w:rsidR="00AF3D42" w:rsidRPr="00206109" w:rsidRDefault="00AF3D42">
      <w:pPr>
        <w:spacing w:after="120"/>
        <w:jc w:val="both"/>
        <w:rPr>
          <w:rFonts w:asciiTheme="minorHAnsi" w:hAnsiTheme="minorHAnsi" w:cstheme="minorHAnsi"/>
        </w:rPr>
      </w:pPr>
      <w:r w:rsidRPr="00206109">
        <w:rPr>
          <w:rFonts w:asciiTheme="minorHAnsi" w:hAnsiTheme="minorHAnsi" w:cstheme="minorHAnsi"/>
        </w:rPr>
        <w:t>Le candidat précisera les caractéristiques des consommables fournis dans le cadre du marché : nature et nombre de types de cartouches (mesure, rinçage, CQ automatiques…), capacité en nombre de tests par cartouche, conditions de conservation (température ambiante ou réfrigérée), durée de vie avant ouverture et stabilité à bord après installation, ainsi que le temps d'immobilisation de l'analyseur lors des changements de cartouche.</w:t>
      </w:r>
    </w:p>
    <w:p w14:paraId="21A0BCBB" w14:textId="7391942C" w:rsidR="008C4EC8" w:rsidRPr="003C4BBB" w:rsidRDefault="008C4EC8" w:rsidP="008C4EC8">
      <w:pPr>
        <w:pStyle w:val="Titre3"/>
        <w:rPr>
          <w:rFonts w:asciiTheme="minorHAnsi" w:hAnsiTheme="minorHAnsi" w:cstheme="minorHAnsi"/>
          <w:sz w:val="22"/>
          <w:szCs w:val="22"/>
        </w:rPr>
      </w:pPr>
      <w:bookmarkStart w:id="23" w:name="_Toc232759463"/>
      <w:r w:rsidRPr="003C4BBB">
        <w:rPr>
          <w:rFonts w:asciiTheme="minorHAnsi" w:hAnsiTheme="minorHAnsi" w:cstheme="minorHAnsi"/>
          <w:sz w:val="22"/>
          <w:szCs w:val="22"/>
        </w:rPr>
        <w:t>4.2.</w:t>
      </w:r>
      <w:r w:rsidR="00C036DA" w:rsidRPr="003C4BBB">
        <w:rPr>
          <w:rFonts w:asciiTheme="minorHAnsi" w:hAnsiTheme="minorHAnsi" w:cstheme="minorHAnsi"/>
          <w:sz w:val="22"/>
          <w:szCs w:val="22"/>
        </w:rPr>
        <w:t>2</w:t>
      </w:r>
      <w:r w:rsidRPr="003C4BBB">
        <w:rPr>
          <w:rFonts w:asciiTheme="minorHAnsi" w:hAnsiTheme="minorHAnsi" w:cstheme="minorHAnsi"/>
          <w:sz w:val="22"/>
          <w:szCs w:val="22"/>
        </w:rPr>
        <w:t>. Contrôles qualités</w:t>
      </w:r>
      <w:bookmarkEnd w:id="23"/>
    </w:p>
    <w:p w14:paraId="3A26A776" w14:textId="77777777" w:rsidR="00F83DF4" w:rsidRPr="00206109" w:rsidRDefault="00F83DF4" w:rsidP="00F83DF4">
      <w:pPr>
        <w:spacing w:after="120"/>
        <w:jc w:val="both"/>
        <w:rPr>
          <w:rFonts w:asciiTheme="minorHAnsi" w:eastAsia="Times New Roman" w:hAnsiTheme="minorHAnsi" w:cstheme="minorHAnsi"/>
        </w:rPr>
      </w:pPr>
      <w:r w:rsidRPr="00206109">
        <w:rPr>
          <w:rFonts w:asciiTheme="minorHAnsi" w:eastAsia="Times New Roman" w:hAnsiTheme="minorHAnsi" w:cstheme="minorHAnsi"/>
        </w:rPr>
        <w:t>Le panel des contrôles qualités sera détaillé en composition et nombre.</w:t>
      </w:r>
    </w:p>
    <w:p w14:paraId="77F31FEC" w14:textId="77777777" w:rsidR="00F83DF4" w:rsidRPr="00206109" w:rsidRDefault="00F83DF4" w:rsidP="00F83DF4">
      <w:pPr>
        <w:spacing w:after="120"/>
        <w:jc w:val="both"/>
        <w:rPr>
          <w:rFonts w:asciiTheme="minorHAnsi" w:eastAsia="Times New Roman" w:hAnsiTheme="minorHAnsi" w:cstheme="minorHAnsi"/>
        </w:rPr>
      </w:pPr>
      <w:r w:rsidRPr="00206109">
        <w:rPr>
          <w:rFonts w:asciiTheme="minorHAnsi" w:eastAsia="Times New Roman" w:hAnsiTheme="minorHAnsi" w:cstheme="minorHAnsi"/>
        </w:rPr>
        <w:t>La valeur de chaque niveau de contrôle sera précisée, ainsi que la qualité de cette valeur : fixe ou variable suivant les lots. Pour chaque niveau de CIQ, le candidat fournira les valeurs cibles par paramètre mesurable. Il précisera si ces valeurs cibles sont fixes ou varient en fonction des lots. Les valeurs des lots actuellement commercialisés seront fournies dans l'offre.</w:t>
      </w:r>
    </w:p>
    <w:p w14:paraId="451C9A91" w14:textId="77777777" w:rsidR="00F83DF4" w:rsidRPr="00206109" w:rsidRDefault="00F83DF4" w:rsidP="00F83DF4">
      <w:pPr>
        <w:spacing w:after="120"/>
        <w:jc w:val="both"/>
        <w:rPr>
          <w:rFonts w:asciiTheme="minorHAnsi" w:eastAsia="Times New Roman" w:hAnsiTheme="minorHAnsi" w:cstheme="minorHAnsi"/>
        </w:rPr>
      </w:pPr>
      <w:r w:rsidRPr="00206109">
        <w:rPr>
          <w:rFonts w:asciiTheme="minorHAnsi" w:eastAsia="Times New Roman" w:hAnsiTheme="minorHAnsi" w:cstheme="minorHAnsi"/>
        </w:rPr>
        <w:t>En cas de différence de valeurs entre les lots (variation de la cible), préciser les capacités à faire des réservations annuelles.</w:t>
      </w:r>
    </w:p>
    <w:p w14:paraId="75629400" w14:textId="77777777" w:rsidR="00F83DF4" w:rsidRPr="00206109" w:rsidRDefault="00F83DF4" w:rsidP="00F83DF4">
      <w:pPr>
        <w:spacing w:after="120"/>
        <w:jc w:val="both"/>
        <w:rPr>
          <w:rFonts w:asciiTheme="minorHAnsi" w:eastAsia="Times New Roman" w:hAnsiTheme="minorHAnsi" w:cstheme="minorHAnsi"/>
        </w:rPr>
      </w:pPr>
      <w:r w:rsidRPr="00206109">
        <w:rPr>
          <w:rFonts w:asciiTheme="minorHAnsi" w:eastAsia="Times New Roman" w:hAnsiTheme="minorHAnsi" w:cstheme="minorHAnsi"/>
        </w:rPr>
        <w:t>Le candidat précisera en outre les fonctionnalités suivantes relatives à la gestion des CIQ et des calibrations :</w:t>
      </w:r>
    </w:p>
    <w:p w14:paraId="61D4B058" w14:textId="6192D24C" w:rsidR="00F83DF4" w:rsidRPr="00206109" w:rsidRDefault="00F83DF4" w:rsidP="00F83DF4">
      <w:pPr>
        <w:numPr>
          <w:ilvl w:val="0"/>
          <w:numId w:val="21"/>
        </w:numPr>
        <w:spacing w:after="120"/>
        <w:jc w:val="both"/>
        <w:rPr>
          <w:rFonts w:asciiTheme="minorHAnsi" w:eastAsia="Times New Roman" w:hAnsiTheme="minorHAnsi" w:cstheme="minorHAnsi"/>
        </w:rPr>
      </w:pPr>
      <w:proofErr w:type="gramStart"/>
      <w:r w:rsidRPr="00206109">
        <w:rPr>
          <w:rFonts w:asciiTheme="minorHAnsi" w:eastAsia="Times New Roman" w:hAnsiTheme="minorHAnsi" w:cstheme="minorHAnsi"/>
        </w:rPr>
        <w:t>le</w:t>
      </w:r>
      <w:proofErr w:type="gramEnd"/>
      <w:r w:rsidRPr="00206109">
        <w:rPr>
          <w:rFonts w:asciiTheme="minorHAnsi" w:eastAsia="Times New Roman" w:hAnsiTheme="minorHAnsi" w:cstheme="minorHAnsi"/>
        </w:rPr>
        <w:t xml:space="preserve"> caractère automatique des passages de CIQ (programmation, déclenchement sans intervention opérateur) </w:t>
      </w:r>
      <w:r w:rsidR="00F458A1">
        <w:rPr>
          <w:rFonts w:asciiTheme="minorHAnsi" w:eastAsia="Times New Roman" w:hAnsiTheme="minorHAnsi" w:cstheme="minorHAnsi"/>
        </w:rPr>
        <w:t xml:space="preserve">ainsi que le repassage automatique </w:t>
      </w:r>
      <w:r w:rsidR="00DE3036">
        <w:rPr>
          <w:rFonts w:asciiTheme="minorHAnsi" w:eastAsia="Times New Roman" w:hAnsiTheme="minorHAnsi" w:cstheme="minorHAnsi"/>
        </w:rPr>
        <w:t xml:space="preserve">éventuel </w:t>
      </w:r>
      <w:r w:rsidR="00F458A1">
        <w:rPr>
          <w:rFonts w:asciiTheme="minorHAnsi" w:eastAsia="Times New Roman" w:hAnsiTheme="minorHAnsi" w:cstheme="minorHAnsi"/>
        </w:rPr>
        <w:t>si mauvais</w:t>
      </w:r>
      <w:r w:rsidR="00DE3036">
        <w:rPr>
          <w:rFonts w:asciiTheme="minorHAnsi" w:eastAsia="Times New Roman" w:hAnsiTheme="minorHAnsi" w:cstheme="minorHAnsi"/>
        </w:rPr>
        <w:t> ;</w:t>
      </w:r>
    </w:p>
    <w:p w14:paraId="377E12FC" w14:textId="77777777" w:rsidR="00F83DF4" w:rsidRPr="00206109" w:rsidRDefault="00F83DF4" w:rsidP="00F83DF4">
      <w:pPr>
        <w:numPr>
          <w:ilvl w:val="0"/>
          <w:numId w:val="21"/>
        </w:numPr>
        <w:spacing w:after="120"/>
        <w:jc w:val="both"/>
        <w:rPr>
          <w:rFonts w:asciiTheme="minorHAnsi" w:eastAsia="Times New Roman" w:hAnsiTheme="minorHAnsi" w:cstheme="minorHAnsi"/>
        </w:rPr>
      </w:pPr>
      <w:proofErr w:type="gramStart"/>
      <w:r w:rsidRPr="00206109">
        <w:rPr>
          <w:rFonts w:asciiTheme="minorHAnsi" w:eastAsia="Times New Roman" w:hAnsiTheme="minorHAnsi" w:cstheme="minorHAnsi"/>
        </w:rPr>
        <w:t>la</w:t>
      </w:r>
      <w:proofErr w:type="gramEnd"/>
      <w:r w:rsidRPr="00206109">
        <w:rPr>
          <w:rFonts w:asciiTheme="minorHAnsi" w:eastAsia="Times New Roman" w:hAnsiTheme="minorHAnsi" w:cstheme="minorHAnsi"/>
        </w:rPr>
        <w:t xml:space="preserve"> possibilité de relancer manuellement un CIQ, une calibration simple (CS) ou une calibration complète, depuis l'analyseur et à distance via le middleware ;</w:t>
      </w:r>
    </w:p>
    <w:p w14:paraId="7AAB206A" w14:textId="77777777" w:rsidR="00F83DF4" w:rsidRPr="00206109" w:rsidRDefault="00F83DF4" w:rsidP="00F83DF4">
      <w:pPr>
        <w:numPr>
          <w:ilvl w:val="0"/>
          <w:numId w:val="21"/>
        </w:numPr>
        <w:spacing w:after="120"/>
        <w:jc w:val="both"/>
        <w:rPr>
          <w:rFonts w:asciiTheme="minorHAnsi" w:eastAsia="Times New Roman" w:hAnsiTheme="minorHAnsi" w:cstheme="minorHAnsi"/>
        </w:rPr>
      </w:pPr>
      <w:proofErr w:type="gramStart"/>
      <w:r w:rsidRPr="00206109">
        <w:rPr>
          <w:rFonts w:asciiTheme="minorHAnsi" w:eastAsia="Times New Roman" w:hAnsiTheme="minorHAnsi" w:cstheme="minorHAnsi"/>
        </w:rPr>
        <w:t>le</w:t>
      </w:r>
      <w:proofErr w:type="gramEnd"/>
      <w:r w:rsidRPr="00206109">
        <w:rPr>
          <w:rFonts w:asciiTheme="minorHAnsi" w:eastAsia="Times New Roman" w:hAnsiTheme="minorHAnsi" w:cstheme="minorHAnsi"/>
        </w:rPr>
        <w:t xml:space="preserve"> blocage automatique des paramètres concernés en cas de résultat CIQ non conforme, et les modalités de déblocage (manuel, automatique après résultat conforme, à distance via le middleware).</w:t>
      </w:r>
    </w:p>
    <w:p w14:paraId="12077EAB" w14:textId="257A6BE7" w:rsidR="00F83DF4" w:rsidRPr="00206109" w:rsidRDefault="00F83DF4" w:rsidP="00F83DF4">
      <w:pPr>
        <w:spacing w:after="120"/>
        <w:jc w:val="both"/>
        <w:rPr>
          <w:rFonts w:asciiTheme="minorHAnsi" w:eastAsia="Times New Roman" w:hAnsiTheme="minorHAnsi" w:cstheme="minorHAnsi"/>
        </w:rPr>
      </w:pPr>
      <w:r w:rsidRPr="00206109">
        <w:rPr>
          <w:rFonts w:asciiTheme="minorHAnsi" w:eastAsia="Times New Roman" w:hAnsiTheme="minorHAnsi" w:cstheme="minorHAnsi"/>
        </w:rPr>
        <w:lastRenderedPageBreak/>
        <w:t xml:space="preserve">Concernant les EEQ, le candidat décrira les conditions de passage sur l'analyseur : mode opératoire spécifique requis (mode spécial, adaptateur dédié le cas échéant), et le nombre de pairs disponibles </w:t>
      </w:r>
      <w:r w:rsidR="00CE497C">
        <w:rPr>
          <w:rFonts w:asciiTheme="minorHAnsi" w:eastAsia="Times New Roman" w:hAnsiTheme="minorHAnsi" w:cstheme="minorHAnsi"/>
        </w:rPr>
        <w:t xml:space="preserve">sur les programmes d’évaluations externes de la qualité (CTCB, </w:t>
      </w:r>
      <w:proofErr w:type="spellStart"/>
      <w:r w:rsidR="00CE497C">
        <w:rPr>
          <w:rFonts w:asciiTheme="minorHAnsi" w:eastAsia="Times New Roman" w:hAnsiTheme="minorHAnsi" w:cstheme="minorHAnsi"/>
        </w:rPr>
        <w:t>Probioqual</w:t>
      </w:r>
      <w:proofErr w:type="spellEnd"/>
      <w:r w:rsidR="00CE497C">
        <w:rPr>
          <w:rFonts w:asciiTheme="minorHAnsi" w:eastAsia="Times New Roman" w:hAnsiTheme="minorHAnsi" w:cstheme="minorHAnsi"/>
        </w:rPr>
        <w:t xml:space="preserve">, </w:t>
      </w:r>
      <w:proofErr w:type="spellStart"/>
      <w:r w:rsidR="00CE497C">
        <w:rPr>
          <w:rFonts w:asciiTheme="minorHAnsi" w:eastAsia="Times New Roman" w:hAnsiTheme="minorHAnsi" w:cstheme="minorHAnsi"/>
        </w:rPr>
        <w:t>etc</w:t>
      </w:r>
      <w:proofErr w:type="spellEnd"/>
      <w:r w:rsidR="00CE497C">
        <w:rPr>
          <w:rFonts w:asciiTheme="minorHAnsi" w:eastAsia="Times New Roman" w:hAnsiTheme="minorHAnsi" w:cstheme="minorHAnsi"/>
        </w:rPr>
        <w:t xml:space="preserve">) </w:t>
      </w:r>
      <w:r w:rsidRPr="00206109">
        <w:rPr>
          <w:rFonts w:asciiTheme="minorHAnsi" w:eastAsia="Times New Roman" w:hAnsiTheme="minorHAnsi" w:cstheme="minorHAnsi"/>
        </w:rPr>
        <w:t>pour les paramètres concernés.</w:t>
      </w:r>
    </w:p>
    <w:p w14:paraId="449318D9" w14:textId="77777777" w:rsidR="00F83DF4" w:rsidRPr="00206109" w:rsidRDefault="00F83DF4" w:rsidP="00F83DF4">
      <w:pPr>
        <w:spacing w:after="120"/>
        <w:jc w:val="both"/>
        <w:rPr>
          <w:rFonts w:asciiTheme="minorHAnsi" w:eastAsia="Times New Roman" w:hAnsiTheme="minorHAnsi" w:cstheme="minorHAnsi"/>
        </w:rPr>
      </w:pPr>
      <w:r w:rsidRPr="00206109">
        <w:rPr>
          <w:rFonts w:asciiTheme="minorHAnsi" w:eastAsia="Times New Roman" w:hAnsiTheme="minorHAnsi" w:cstheme="minorHAnsi"/>
        </w:rPr>
        <w:t>Le candidat décrira les outils (modules du middleware, tableaux de bord, exports) mis à disposition pendant toute la durée du marché pour le suivi des performances analytiques :</w:t>
      </w:r>
    </w:p>
    <w:p w14:paraId="5A2D158C" w14:textId="77777777" w:rsidR="00F83DF4" w:rsidRPr="00206109" w:rsidRDefault="00F83DF4" w:rsidP="00F83DF4">
      <w:pPr>
        <w:numPr>
          <w:ilvl w:val="0"/>
          <w:numId w:val="22"/>
        </w:numPr>
        <w:spacing w:after="120"/>
        <w:jc w:val="both"/>
        <w:rPr>
          <w:rFonts w:asciiTheme="minorHAnsi" w:eastAsia="Times New Roman" w:hAnsiTheme="minorHAnsi" w:cstheme="minorHAnsi"/>
        </w:rPr>
      </w:pPr>
      <w:proofErr w:type="gramStart"/>
      <w:r w:rsidRPr="00206109">
        <w:rPr>
          <w:rFonts w:asciiTheme="minorHAnsi" w:eastAsia="Times New Roman" w:hAnsiTheme="minorHAnsi" w:cstheme="minorHAnsi"/>
        </w:rPr>
        <w:t>pour</w:t>
      </w:r>
      <w:proofErr w:type="gramEnd"/>
      <w:r w:rsidRPr="00206109">
        <w:rPr>
          <w:rFonts w:asciiTheme="minorHAnsi" w:eastAsia="Times New Roman" w:hAnsiTheme="minorHAnsi" w:cstheme="minorHAnsi"/>
        </w:rPr>
        <w:t xml:space="preserve"> les gazomètres fournis dans le cadre du marché ;</w:t>
      </w:r>
    </w:p>
    <w:p w14:paraId="0EA07819" w14:textId="77777777" w:rsidR="00F83DF4" w:rsidRPr="00206109" w:rsidRDefault="00F83DF4" w:rsidP="00F83DF4">
      <w:pPr>
        <w:numPr>
          <w:ilvl w:val="0"/>
          <w:numId w:val="22"/>
        </w:numPr>
        <w:spacing w:after="120"/>
        <w:jc w:val="both"/>
        <w:rPr>
          <w:rFonts w:asciiTheme="minorHAnsi" w:eastAsia="Times New Roman" w:hAnsiTheme="minorHAnsi" w:cstheme="minorHAnsi"/>
        </w:rPr>
      </w:pPr>
      <w:proofErr w:type="gramStart"/>
      <w:r w:rsidRPr="00206109">
        <w:rPr>
          <w:rFonts w:asciiTheme="minorHAnsi" w:eastAsia="Times New Roman" w:hAnsiTheme="minorHAnsi" w:cstheme="minorHAnsi"/>
        </w:rPr>
        <w:t>pour</w:t>
      </w:r>
      <w:proofErr w:type="gramEnd"/>
      <w:r w:rsidRPr="00206109">
        <w:rPr>
          <w:rFonts w:asciiTheme="minorHAnsi" w:eastAsia="Times New Roman" w:hAnsiTheme="minorHAnsi" w:cstheme="minorHAnsi"/>
        </w:rPr>
        <w:t xml:space="preserve"> les analyseurs tiers connectés au middleware.</w:t>
      </w:r>
    </w:p>
    <w:p w14:paraId="46E79EA0" w14:textId="648A4286" w:rsidR="00C036DA" w:rsidRPr="00D06911" w:rsidRDefault="00F83DF4" w:rsidP="00D06911">
      <w:pPr>
        <w:spacing w:after="120"/>
        <w:jc w:val="both"/>
        <w:rPr>
          <w:rFonts w:asciiTheme="minorHAnsi" w:eastAsia="Times New Roman" w:hAnsiTheme="minorHAnsi" w:cstheme="minorHAnsi"/>
        </w:rPr>
      </w:pPr>
      <w:r w:rsidRPr="00206109">
        <w:rPr>
          <w:rFonts w:asciiTheme="minorHAnsi" w:eastAsia="Times New Roman" w:hAnsiTheme="minorHAnsi" w:cstheme="minorHAnsi"/>
        </w:rPr>
        <w:t xml:space="preserve">Ces outils permettront le suivi dans le temps des CIQ et des EEQ : moyennes, écarts-types, CV%, représentations de type </w:t>
      </w:r>
      <w:proofErr w:type="spellStart"/>
      <w:r w:rsidRPr="00206109">
        <w:rPr>
          <w:rFonts w:asciiTheme="minorHAnsi" w:eastAsia="Times New Roman" w:hAnsiTheme="minorHAnsi" w:cstheme="minorHAnsi"/>
        </w:rPr>
        <w:t>Levey</w:t>
      </w:r>
      <w:proofErr w:type="spellEnd"/>
      <w:r w:rsidRPr="00206109">
        <w:rPr>
          <w:rFonts w:asciiTheme="minorHAnsi" w:eastAsia="Times New Roman" w:hAnsiTheme="minorHAnsi" w:cstheme="minorHAnsi"/>
        </w:rPr>
        <w:t xml:space="preserve">-Jennings, incertitudes de mesure et fidélité intermédiaire, comparaisons inter-instruments, en cohérence avec l'ISO </w:t>
      </w:r>
      <w:proofErr w:type="gramStart"/>
      <w:r w:rsidRPr="00206109">
        <w:rPr>
          <w:rFonts w:asciiTheme="minorHAnsi" w:eastAsia="Times New Roman" w:hAnsiTheme="minorHAnsi" w:cstheme="minorHAnsi"/>
        </w:rPr>
        <w:t>15189:</w:t>
      </w:r>
      <w:proofErr w:type="gramEnd"/>
      <w:r w:rsidRPr="00206109">
        <w:rPr>
          <w:rFonts w:asciiTheme="minorHAnsi" w:eastAsia="Times New Roman" w:hAnsiTheme="minorHAnsi" w:cstheme="minorHAnsi"/>
        </w:rPr>
        <w:t xml:space="preserve">2022 et les SH FORM du </w:t>
      </w:r>
      <w:r w:rsidR="00912EF3" w:rsidRPr="00206109">
        <w:rPr>
          <w:rFonts w:asciiTheme="minorHAnsi" w:eastAsia="Times New Roman" w:hAnsiTheme="minorHAnsi" w:cstheme="minorHAnsi"/>
        </w:rPr>
        <w:t>C</w:t>
      </w:r>
      <w:r w:rsidR="00912EF3">
        <w:rPr>
          <w:rFonts w:asciiTheme="minorHAnsi" w:eastAsia="Times New Roman" w:hAnsiTheme="minorHAnsi" w:cstheme="minorHAnsi"/>
        </w:rPr>
        <w:t>OFRAC</w:t>
      </w:r>
      <w:r w:rsidRPr="00206109">
        <w:rPr>
          <w:rFonts w:asciiTheme="minorHAnsi" w:eastAsia="Times New Roman" w:hAnsiTheme="minorHAnsi" w:cstheme="minorHAnsi"/>
        </w:rPr>
        <w:t>. Le candidat précisera le format des exports et la capacité à automatiser la production et la diffusion de ces rapports.</w:t>
      </w:r>
    </w:p>
    <w:p w14:paraId="700A562F" w14:textId="7BE93F7A" w:rsidR="0086323F" w:rsidRPr="003C4BBB" w:rsidRDefault="00964243">
      <w:pPr>
        <w:pStyle w:val="Titre3"/>
        <w:rPr>
          <w:rFonts w:asciiTheme="minorHAnsi" w:hAnsiTheme="minorHAnsi" w:cstheme="minorHAnsi"/>
          <w:sz w:val="22"/>
          <w:szCs w:val="22"/>
        </w:rPr>
      </w:pPr>
      <w:bookmarkStart w:id="24" w:name="_Toc232759464"/>
      <w:r w:rsidRPr="003C4BBB">
        <w:rPr>
          <w:rFonts w:asciiTheme="minorHAnsi" w:hAnsiTheme="minorHAnsi" w:cstheme="minorHAnsi"/>
          <w:sz w:val="22"/>
          <w:szCs w:val="22"/>
        </w:rPr>
        <w:t>4.2.</w:t>
      </w:r>
      <w:r w:rsidR="00C036DA" w:rsidRPr="003C4BBB">
        <w:rPr>
          <w:rFonts w:asciiTheme="minorHAnsi" w:hAnsiTheme="minorHAnsi" w:cstheme="minorHAnsi"/>
          <w:sz w:val="22"/>
          <w:szCs w:val="22"/>
        </w:rPr>
        <w:t>3</w:t>
      </w:r>
      <w:r w:rsidRPr="003C4BBB">
        <w:rPr>
          <w:rFonts w:asciiTheme="minorHAnsi" w:hAnsiTheme="minorHAnsi" w:cstheme="minorHAnsi"/>
          <w:sz w:val="22"/>
          <w:szCs w:val="22"/>
        </w:rPr>
        <w:t>. Environnement technique</w:t>
      </w:r>
      <w:bookmarkEnd w:id="24"/>
    </w:p>
    <w:p w14:paraId="57993F63" w14:textId="7A369D16"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 candidat précisera l’ensemble des utilités nécessaires</w:t>
      </w:r>
      <w:r w:rsidR="00375240" w:rsidRPr="00AA7CC5">
        <w:rPr>
          <w:rFonts w:asciiTheme="minorHAnsi" w:hAnsiTheme="minorHAnsi" w:cstheme="minorHAnsi"/>
        </w:rPr>
        <w:t xml:space="preserve"> </w:t>
      </w:r>
      <w:r w:rsidRPr="00AA7CC5">
        <w:rPr>
          <w:rFonts w:asciiTheme="minorHAnsi" w:hAnsiTheme="minorHAnsi" w:cstheme="minorHAnsi"/>
        </w:rPr>
        <w:t>:</w:t>
      </w:r>
    </w:p>
    <w:p w14:paraId="2D218B9D"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dimensions</w:t>
      </w:r>
      <w:proofErr w:type="gramEnd"/>
      <w:r w:rsidRPr="00206109">
        <w:rPr>
          <w:rFonts w:asciiTheme="minorHAnsi" w:hAnsiTheme="minorHAnsi" w:cstheme="minorHAnsi"/>
        </w:rPr>
        <w:t xml:space="preserve"> et longueur de paillasse, dimensions des chariots ;</w:t>
      </w:r>
    </w:p>
    <w:p w14:paraId="7AF5C6EB"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gestion</w:t>
      </w:r>
      <w:proofErr w:type="gramEnd"/>
      <w:r w:rsidRPr="00206109">
        <w:rPr>
          <w:rFonts w:asciiTheme="minorHAnsi" w:hAnsiTheme="minorHAnsi" w:cstheme="minorHAnsi"/>
        </w:rPr>
        <w:t xml:space="preserve"> des déchets et effluents (DASRI, conteneurs) ;</w:t>
      </w:r>
    </w:p>
    <w:p w14:paraId="41DD311D" w14:textId="77777777" w:rsidR="0086323F" w:rsidRPr="00206109" w:rsidRDefault="00964243">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besoins</w:t>
      </w:r>
      <w:proofErr w:type="gramEnd"/>
      <w:r w:rsidRPr="00206109">
        <w:rPr>
          <w:rFonts w:asciiTheme="minorHAnsi" w:hAnsiTheme="minorHAnsi" w:cstheme="minorHAnsi"/>
        </w:rPr>
        <w:t xml:space="preserve"> CVC, plomberie, électriques, sonores et calorifiques ;</w:t>
      </w:r>
    </w:p>
    <w:p w14:paraId="4F9E839A" w14:textId="27347B56" w:rsidR="00912EF3" w:rsidRPr="00D06911" w:rsidRDefault="00964243" w:rsidP="00C036DA">
      <w:pPr>
        <w:pStyle w:val="Paragraphedeliste"/>
        <w:numPr>
          <w:ilvl w:val="0"/>
          <w:numId w:val="2"/>
        </w:numPr>
        <w:spacing w:after="80"/>
        <w:jc w:val="both"/>
        <w:rPr>
          <w:rFonts w:asciiTheme="minorHAnsi" w:hAnsiTheme="minorHAnsi" w:cstheme="minorHAnsi"/>
        </w:rPr>
      </w:pPr>
      <w:proofErr w:type="gramStart"/>
      <w:r w:rsidRPr="00206109">
        <w:rPr>
          <w:rFonts w:asciiTheme="minorHAnsi" w:hAnsiTheme="minorHAnsi" w:cstheme="minorHAnsi"/>
        </w:rPr>
        <w:t>poids</w:t>
      </w:r>
      <w:proofErr w:type="gramEnd"/>
      <w:r w:rsidRPr="00206109">
        <w:rPr>
          <w:rFonts w:asciiTheme="minorHAnsi" w:hAnsiTheme="minorHAnsi" w:cstheme="minorHAnsi"/>
        </w:rPr>
        <w:t xml:space="preserve"> et dimensions de chaque élément.</w:t>
      </w:r>
    </w:p>
    <w:p w14:paraId="0F402754" w14:textId="172178E2" w:rsidR="0086323F" w:rsidRPr="003C4BBB" w:rsidRDefault="00964243">
      <w:pPr>
        <w:pStyle w:val="Titre3"/>
        <w:rPr>
          <w:rFonts w:asciiTheme="minorHAnsi" w:hAnsiTheme="minorHAnsi" w:cstheme="minorHAnsi"/>
          <w:sz w:val="22"/>
          <w:szCs w:val="22"/>
        </w:rPr>
      </w:pPr>
      <w:bookmarkStart w:id="25" w:name="_Toc232759465"/>
      <w:r w:rsidRPr="003C4BBB">
        <w:rPr>
          <w:rFonts w:asciiTheme="minorHAnsi" w:hAnsiTheme="minorHAnsi" w:cstheme="minorHAnsi"/>
          <w:sz w:val="22"/>
          <w:szCs w:val="22"/>
        </w:rPr>
        <w:t>4.2.</w:t>
      </w:r>
      <w:r w:rsidR="00C036DA" w:rsidRPr="003C4BBB">
        <w:rPr>
          <w:rFonts w:asciiTheme="minorHAnsi" w:hAnsiTheme="minorHAnsi" w:cstheme="minorHAnsi"/>
          <w:sz w:val="22"/>
          <w:szCs w:val="22"/>
        </w:rPr>
        <w:t>4</w:t>
      </w:r>
      <w:r w:rsidRPr="003C4BBB">
        <w:rPr>
          <w:rFonts w:asciiTheme="minorHAnsi" w:hAnsiTheme="minorHAnsi" w:cstheme="minorHAnsi"/>
          <w:sz w:val="22"/>
          <w:szCs w:val="22"/>
        </w:rPr>
        <w:t>. Maintenance des équipements</w:t>
      </w:r>
      <w:bookmarkEnd w:id="25"/>
    </w:p>
    <w:p w14:paraId="16CCB236" w14:textId="77777777" w:rsidR="00E93497" w:rsidRPr="00206109" w:rsidRDefault="00E93497" w:rsidP="00E93497">
      <w:pPr>
        <w:spacing w:after="120"/>
        <w:jc w:val="both"/>
        <w:rPr>
          <w:rFonts w:asciiTheme="minorHAnsi" w:hAnsiTheme="minorHAnsi" w:cstheme="minorHAnsi"/>
        </w:rPr>
      </w:pPr>
      <w:r w:rsidRPr="00206109">
        <w:rPr>
          <w:rFonts w:asciiTheme="minorHAnsi" w:hAnsiTheme="minorHAnsi" w:cstheme="minorHAnsi"/>
        </w:rPr>
        <w:t>Les équipements seront considérés comme des équipements sensibles ; les exigences contractuelles définies au CCAP s'appliquent. Le titulaire décrira précisément ses engagements de maintenance, le CHU ayant comme objectifs contractuels :</w:t>
      </w:r>
    </w:p>
    <w:p w14:paraId="45DD76AB" w14:textId="77777777" w:rsidR="00E93497" w:rsidRPr="00206109" w:rsidRDefault="00E93497" w:rsidP="00E93497">
      <w:pPr>
        <w:numPr>
          <w:ilvl w:val="0"/>
          <w:numId w:val="26"/>
        </w:numPr>
        <w:spacing w:after="120"/>
        <w:jc w:val="both"/>
        <w:rPr>
          <w:rFonts w:asciiTheme="minorHAnsi" w:hAnsiTheme="minorHAnsi" w:cstheme="minorHAnsi"/>
        </w:rPr>
      </w:pPr>
      <w:proofErr w:type="gramStart"/>
      <w:r w:rsidRPr="00206109">
        <w:rPr>
          <w:rFonts w:asciiTheme="minorHAnsi" w:hAnsiTheme="minorHAnsi" w:cstheme="minorHAnsi"/>
        </w:rPr>
        <w:t>réponse</w:t>
      </w:r>
      <w:proofErr w:type="gramEnd"/>
      <w:r w:rsidRPr="00206109">
        <w:rPr>
          <w:rFonts w:asciiTheme="minorHAnsi" w:hAnsiTheme="minorHAnsi" w:cstheme="minorHAnsi"/>
        </w:rPr>
        <w:t xml:space="preserve"> hotline en moins de 2 heures ;</w:t>
      </w:r>
    </w:p>
    <w:p w14:paraId="5C1E48AC" w14:textId="77777777" w:rsidR="00E93497" w:rsidRPr="00206109" w:rsidRDefault="00E93497" w:rsidP="00E93497">
      <w:pPr>
        <w:numPr>
          <w:ilvl w:val="0"/>
          <w:numId w:val="26"/>
        </w:numPr>
        <w:spacing w:after="120"/>
        <w:jc w:val="both"/>
        <w:rPr>
          <w:rFonts w:asciiTheme="minorHAnsi" w:hAnsiTheme="minorHAnsi" w:cstheme="minorHAnsi"/>
        </w:rPr>
      </w:pPr>
      <w:proofErr w:type="gramStart"/>
      <w:r w:rsidRPr="00206109">
        <w:rPr>
          <w:rFonts w:asciiTheme="minorHAnsi" w:hAnsiTheme="minorHAnsi" w:cstheme="minorHAnsi"/>
        </w:rPr>
        <w:t>intervention</w:t>
      </w:r>
      <w:proofErr w:type="gramEnd"/>
      <w:r w:rsidRPr="00206109">
        <w:rPr>
          <w:rFonts w:asciiTheme="minorHAnsi" w:hAnsiTheme="minorHAnsi" w:cstheme="minorHAnsi"/>
        </w:rPr>
        <w:t xml:space="preserve"> sur site à J+1 maximum en cas de panne bloquante ;</w:t>
      </w:r>
    </w:p>
    <w:p w14:paraId="10D6E46D" w14:textId="77777777" w:rsidR="00E93497" w:rsidRPr="00206109" w:rsidRDefault="00E93497" w:rsidP="00E93497">
      <w:pPr>
        <w:numPr>
          <w:ilvl w:val="0"/>
          <w:numId w:val="26"/>
        </w:numPr>
        <w:spacing w:after="120"/>
        <w:jc w:val="both"/>
        <w:rPr>
          <w:rFonts w:asciiTheme="minorHAnsi" w:hAnsiTheme="minorHAnsi" w:cstheme="minorHAnsi"/>
        </w:rPr>
      </w:pPr>
      <w:proofErr w:type="gramStart"/>
      <w:r w:rsidRPr="00206109">
        <w:rPr>
          <w:rFonts w:asciiTheme="minorHAnsi" w:hAnsiTheme="minorHAnsi" w:cstheme="minorHAnsi"/>
        </w:rPr>
        <w:t>fourniture</w:t>
      </w:r>
      <w:proofErr w:type="gramEnd"/>
      <w:r w:rsidRPr="00206109">
        <w:rPr>
          <w:rFonts w:asciiTheme="minorHAnsi" w:hAnsiTheme="minorHAnsi" w:cstheme="minorHAnsi"/>
        </w:rPr>
        <w:t xml:space="preserve"> des pièces détachées sous 24 h ouvrées ;</w:t>
      </w:r>
    </w:p>
    <w:p w14:paraId="1F05D954" w14:textId="77777777" w:rsidR="00E93497" w:rsidRPr="00206109" w:rsidRDefault="00E93497" w:rsidP="00E93497">
      <w:pPr>
        <w:numPr>
          <w:ilvl w:val="0"/>
          <w:numId w:val="26"/>
        </w:numPr>
        <w:spacing w:after="120"/>
        <w:jc w:val="both"/>
        <w:rPr>
          <w:rFonts w:asciiTheme="minorHAnsi" w:hAnsiTheme="minorHAnsi" w:cstheme="minorHAnsi"/>
        </w:rPr>
      </w:pPr>
      <w:proofErr w:type="gramStart"/>
      <w:r w:rsidRPr="00206109">
        <w:rPr>
          <w:rFonts w:asciiTheme="minorHAnsi" w:hAnsiTheme="minorHAnsi" w:cstheme="minorHAnsi"/>
        </w:rPr>
        <w:t>disponibilité</w:t>
      </w:r>
      <w:proofErr w:type="gramEnd"/>
      <w:r w:rsidRPr="00206109">
        <w:rPr>
          <w:rFonts w:asciiTheme="minorHAnsi" w:hAnsiTheme="minorHAnsi" w:cstheme="minorHAnsi"/>
        </w:rPr>
        <w:t xml:space="preserve"> du parc ≥ 98 % sur l'année ;</w:t>
      </w:r>
    </w:p>
    <w:p w14:paraId="3E6F3A0A" w14:textId="77777777" w:rsidR="00E93497" w:rsidRPr="00206109" w:rsidRDefault="00E93497" w:rsidP="00E93497">
      <w:pPr>
        <w:numPr>
          <w:ilvl w:val="0"/>
          <w:numId w:val="26"/>
        </w:numPr>
        <w:spacing w:after="120"/>
        <w:jc w:val="both"/>
        <w:rPr>
          <w:rFonts w:asciiTheme="minorHAnsi" w:hAnsiTheme="minorHAnsi" w:cstheme="minorHAnsi"/>
        </w:rPr>
      </w:pPr>
      <w:proofErr w:type="gramStart"/>
      <w:r w:rsidRPr="00206109">
        <w:rPr>
          <w:rFonts w:asciiTheme="minorHAnsi" w:hAnsiTheme="minorHAnsi" w:cstheme="minorHAnsi"/>
        </w:rPr>
        <w:t>plan</w:t>
      </w:r>
      <w:proofErr w:type="gramEnd"/>
      <w:r w:rsidRPr="00206109">
        <w:rPr>
          <w:rFonts w:asciiTheme="minorHAnsi" w:hAnsiTheme="minorHAnsi" w:cstheme="minorHAnsi"/>
        </w:rPr>
        <w:t xml:space="preserve"> de continuité pour les analyseurs critiques ;</w:t>
      </w:r>
    </w:p>
    <w:p w14:paraId="4C127942" w14:textId="77777777" w:rsidR="00E93497" w:rsidRPr="00206109" w:rsidRDefault="00E93497" w:rsidP="00E93497">
      <w:pPr>
        <w:numPr>
          <w:ilvl w:val="0"/>
          <w:numId w:val="26"/>
        </w:numPr>
        <w:spacing w:after="120"/>
        <w:jc w:val="both"/>
        <w:rPr>
          <w:rFonts w:asciiTheme="minorHAnsi" w:hAnsiTheme="minorHAnsi" w:cstheme="minorHAnsi"/>
        </w:rPr>
      </w:pPr>
      <w:proofErr w:type="gramStart"/>
      <w:r w:rsidRPr="00206109">
        <w:rPr>
          <w:rFonts w:asciiTheme="minorHAnsi" w:hAnsiTheme="minorHAnsi" w:cstheme="minorHAnsi"/>
        </w:rPr>
        <w:t>amplitude</w:t>
      </w:r>
      <w:proofErr w:type="gramEnd"/>
      <w:r w:rsidRPr="00206109">
        <w:rPr>
          <w:rFonts w:asciiTheme="minorHAnsi" w:hAnsiTheme="minorHAnsi" w:cstheme="minorHAnsi"/>
        </w:rPr>
        <w:t xml:space="preserve"> horaire de la hotline (jours et heures de disponibilité) et canaux d'accès : téléphone, courriel, portail web / espace client, prise en main à distance.</w:t>
      </w:r>
    </w:p>
    <w:p w14:paraId="7BC2BAD4" w14:textId="77777777" w:rsidR="00E93497" w:rsidRPr="00206109" w:rsidRDefault="00E93497" w:rsidP="00E93497">
      <w:pPr>
        <w:spacing w:after="120"/>
        <w:jc w:val="both"/>
        <w:rPr>
          <w:rFonts w:asciiTheme="minorHAnsi" w:hAnsiTheme="minorHAnsi" w:cstheme="minorHAnsi"/>
        </w:rPr>
      </w:pPr>
      <w:r w:rsidRPr="00206109">
        <w:rPr>
          <w:rFonts w:asciiTheme="minorHAnsi" w:hAnsiTheme="minorHAnsi" w:cstheme="minorHAnsi"/>
        </w:rPr>
        <w:t>Les éléments de réponse à ces items seront classés en fonction de leur performance.</w:t>
      </w:r>
    </w:p>
    <w:p w14:paraId="78865FC2" w14:textId="77777777" w:rsidR="00E93497" w:rsidRPr="00206109" w:rsidRDefault="00E93497" w:rsidP="00E93497">
      <w:pPr>
        <w:spacing w:after="120"/>
        <w:jc w:val="both"/>
        <w:rPr>
          <w:rFonts w:asciiTheme="minorHAnsi" w:hAnsiTheme="minorHAnsi" w:cstheme="minorHAnsi"/>
        </w:rPr>
      </w:pPr>
      <w:r w:rsidRPr="00206109">
        <w:rPr>
          <w:rFonts w:asciiTheme="minorHAnsi" w:hAnsiTheme="minorHAnsi" w:cstheme="minorHAnsi"/>
        </w:rPr>
        <w:t>Concernant le middleware, le titulaire précisera :</w:t>
      </w:r>
    </w:p>
    <w:p w14:paraId="56148259" w14:textId="77777777" w:rsidR="00E93497" w:rsidRPr="00206109" w:rsidRDefault="00E93497" w:rsidP="00E93497">
      <w:pPr>
        <w:numPr>
          <w:ilvl w:val="0"/>
          <w:numId w:val="27"/>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niveaux de sévérité des incidents retenus (bloquant, dégradé, mineur), les délais de réponse et de résolution associés à chaque niveau, et les canaux de signalement disponibles (hotline dédiée, portail, courriel) ;</w:t>
      </w:r>
    </w:p>
    <w:p w14:paraId="6BD96752" w14:textId="77777777" w:rsidR="00E93497" w:rsidRPr="00206109" w:rsidRDefault="00E93497" w:rsidP="00E93497">
      <w:pPr>
        <w:numPr>
          <w:ilvl w:val="0"/>
          <w:numId w:val="27"/>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modalités d'accompagnement post-installation lors de la connexion d'un nouvel analyseur ou de l'activation d'une nouvelle analyse en cours de marché : ingénierie d'application, tests de validation, mise à jour du paramétrage ; le titulaire précisera le délai d'intervention et les conditions tarifaires éventuelles associées à ces prestations.</w:t>
      </w:r>
    </w:p>
    <w:p w14:paraId="7611ABDB" w14:textId="1EFAE347" w:rsidR="00E83D52" w:rsidRPr="00206109" w:rsidRDefault="00E83D52">
      <w:pPr>
        <w:spacing w:after="120"/>
        <w:jc w:val="both"/>
        <w:rPr>
          <w:rFonts w:asciiTheme="minorHAnsi" w:hAnsiTheme="minorHAnsi" w:cstheme="minorHAnsi"/>
        </w:rPr>
      </w:pPr>
    </w:p>
    <w:p w14:paraId="6C9A7DBA" w14:textId="77777777" w:rsidR="00E83D52" w:rsidRPr="00206109" w:rsidRDefault="00E83D52" w:rsidP="00E83D52">
      <w:pPr>
        <w:pStyle w:val="Titre1"/>
        <w:rPr>
          <w:rFonts w:asciiTheme="minorHAnsi" w:hAnsiTheme="minorHAnsi" w:cstheme="minorHAnsi"/>
        </w:rPr>
      </w:pPr>
      <w:bookmarkStart w:id="26" w:name="_Toc232759466"/>
      <w:r w:rsidRPr="00206109">
        <w:rPr>
          <w:rFonts w:asciiTheme="minorHAnsi" w:hAnsiTheme="minorHAnsi" w:cstheme="minorHAnsi"/>
        </w:rPr>
        <w:lastRenderedPageBreak/>
        <w:t>5. Fonctionnalités attendues du middleware</w:t>
      </w:r>
      <w:bookmarkEnd w:id="26"/>
    </w:p>
    <w:p w14:paraId="7DD62900" w14:textId="6DFDC024"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 xml:space="preserve">Le middleware constitue le cœur opérationnel du dispositif de biologie médicale délocalisée du CHU. Il pilote la totalité du parc gère les opérateurs et les habilitations, assure la traçabilité des résultats, le suivi qualité et les échanges avec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Le candidat répondra point par point dans son mémoire technique aux exigences du présent chapitre. Les éléments d'infrastructure, de sécurité et d'intégration au SI du CHU font l'objet du chapitre 6.</w:t>
      </w:r>
    </w:p>
    <w:p w14:paraId="1BEFDC83" w14:textId="77777777" w:rsidR="00E83D52" w:rsidRPr="003C4BBB" w:rsidRDefault="00E83D52" w:rsidP="00E83D52">
      <w:pPr>
        <w:pStyle w:val="Titre3"/>
        <w:rPr>
          <w:rFonts w:asciiTheme="minorHAnsi" w:hAnsiTheme="minorHAnsi" w:cstheme="minorHAnsi"/>
          <w:sz w:val="22"/>
          <w:szCs w:val="22"/>
        </w:rPr>
      </w:pPr>
      <w:bookmarkStart w:id="27" w:name="_Toc232759467"/>
      <w:r w:rsidRPr="003C4BBB">
        <w:rPr>
          <w:rFonts w:asciiTheme="minorHAnsi" w:hAnsiTheme="minorHAnsi" w:cstheme="minorHAnsi"/>
          <w:sz w:val="22"/>
          <w:szCs w:val="22"/>
        </w:rPr>
        <w:t>5.1 Gestion des opérateurs et des habilitations</w:t>
      </w:r>
      <w:bookmarkEnd w:id="27"/>
    </w:p>
    <w:p w14:paraId="5BEB5CA3"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La solution devra offrir une gestion centralisée des opérateurs, commune aux gazomètres et aux automates tiers connectés. Le candidat décrira :</w:t>
      </w:r>
    </w:p>
    <w:p w14:paraId="6F4DCB41" w14:textId="77777777" w:rsidR="00E83D52" w:rsidRPr="00206109" w:rsidRDefault="00E83D52" w:rsidP="00E83D52">
      <w:pPr>
        <w:numPr>
          <w:ilvl w:val="0"/>
          <w:numId w:val="7"/>
        </w:numPr>
        <w:spacing w:after="120"/>
        <w:jc w:val="both"/>
        <w:rPr>
          <w:rFonts w:asciiTheme="minorHAnsi" w:hAnsiTheme="minorHAnsi" w:cstheme="minorHAnsi"/>
        </w:rPr>
      </w:pPr>
      <w:proofErr w:type="gramStart"/>
      <w:r w:rsidRPr="00206109">
        <w:rPr>
          <w:rFonts w:asciiTheme="minorHAnsi" w:hAnsiTheme="minorHAnsi" w:cstheme="minorHAnsi"/>
        </w:rPr>
        <w:t>l'identifiant</w:t>
      </w:r>
      <w:proofErr w:type="gramEnd"/>
      <w:r w:rsidRPr="00206109">
        <w:rPr>
          <w:rFonts w:asciiTheme="minorHAnsi" w:hAnsiTheme="minorHAnsi" w:cstheme="minorHAnsi"/>
        </w:rPr>
        <w:t xml:space="preserve"> unique opérateur (matricule CHU) et son rattachement à un ou plusieurs services / sites ;</w:t>
      </w:r>
    </w:p>
    <w:p w14:paraId="167B67FD" w14:textId="77777777" w:rsidR="00E83D52" w:rsidRPr="00206109" w:rsidRDefault="00E83D52" w:rsidP="00E83D52">
      <w:pPr>
        <w:numPr>
          <w:ilvl w:val="0"/>
          <w:numId w:val="7"/>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gestion par profils (utilisateur, référent qualité, biologiste, administrateur middleware) et les droits associés ;</w:t>
      </w:r>
    </w:p>
    <w:p w14:paraId="175113A1" w14:textId="1EDFAB8F" w:rsidR="00E83D52" w:rsidRPr="00206109" w:rsidRDefault="00E83D52" w:rsidP="00E83D52">
      <w:pPr>
        <w:numPr>
          <w:ilvl w:val="0"/>
          <w:numId w:val="7"/>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règles d'habilitation et de réhabilitation assignées et tracées par le middleware ;</w:t>
      </w:r>
    </w:p>
    <w:p w14:paraId="1C6ABC3E" w14:textId="77777777" w:rsidR="00E83D52" w:rsidRPr="00206109" w:rsidRDefault="00E83D52" w:rsidP="00E83D52">
      <w:pPr>
        <w:numPr>
          <w:ilvl w:val="0"/>
          <w:numId w:val="7"/>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désactivation automatique d'un opérateur sur seuil d'inactivité paramétrable ;</w:t>
      </w:r>
    </w:p>
    <w:p w14:paraId="45C44534" w14:textId="77777777" w:rsidR="00E83D52" w:rsidRPr="00206109" w:rsidRDefault="00E83D52" w:rsidP="00E83D52">
      <w:pPr>
        <w:numPr>
          <w:ilvl w:val="0"/>
          <w:numId w:val="7"/>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reprise de la base opérateurs existante issue du </w:t>
      </w:r>
      <w:proofErr w:type="spellStart"/>
      <w:r w:rsidRPr="00206109">
        <w:rPr>
          <w:rFonts w:asciiTheme="minorHAnsi" w:hAnsiTheme="minorHAnsi" w:cstheme="minorHAnsi"/>
        </w:rPr>
        <w:t>POCcelerator</w:t>
      </w:r>
      <w:proofErr w:type="spellEnd"/>
      <w:r w:rsidRPr="00206109">
        <w:rPr>
          <w:rFonts w:asciiTheme="minorHAnsi" w:hAnsiTheme="minorHAnsi" w:cstheme="minorHAnsi"/>
        </w:rPr>
        <w:t xml:space="preserve"> / </w:t>
      </w:r>
      <w:proofErr w:type="spellStart"/>
      <w:r w:rsidRPr="00206109">
        <w:rPr>
          <w:rFonts w:asciiTheme="minorHAnsi" w:hAnsiTheme="minorHAnsi" w:cstheme="minorHAnsi"/>
        </w:rPr>
        <w:t>Aqure</w:t>
      </w:r>
      <w:proofErr w:type="spellEnd"/>
      <w:r w:rsidRPr="00206109">
        <w:rPr>
          <w:rFonts w:asciiTheme="minorHAnsi" w:hAnsiTheme="minorHAnsi" w:cstheme="minorHAnsi"/>
        </w:rPr>
        <w:t xml:space="preserve"> lors du déploiement (cf. §2.4) ;</w:t>
      </w:r>
    </w:p>
    <w:p w14:paraId="2BFA2DDF" w14:textId="77777777" w:rsidR="00E83D52" w:rsidRPr="00206109" w:rsidRDefault="00E83D52" w:rsidP="00E83D52">
      <w:pPr>
        <w:numPr>
          <w:ilvl w:val="0"/>
          <w:numId w:val="7"/>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traçabilité (journal d'audit) de toute création, modification ou suppression d'opérateur ou d'habilitation.</w:t>
      </w:r>
    </w:p>
    <w:p w14:paraId="37BEA0A0" w14:textId="77777777" w:rsidR="00E83D52" w:rsidRPr="003C4BBB" w:rsidRDefault="00E83D52" w:rsidP="00E83D52">
      <w:pPr>
        <w:pStyle w:val="Titre3"/>
        <w:rPr>
          <w:rFonts w:asciiTheme="minorHAnsi" w:hAnsiTheme="minorHAnsi" w:cstheme="minorHAnsi"/>
          <w:sz w:val="22"/>
          <w:szCs w:val="22"/>
        </w:rPr>
      </w:pPr>
      <w:bookmarkStart w:id="28" w:name="_Toc232759468"/>
      <w:r w:rsidRPr="003C4BBB">
        <w:rPr>
          <w:rFonts w:asciiTheme="minorHAnsi" w:hAnsiTheme="minorHAnsi" w:cstheme="minorHAnsi"/>
          <w:sz w:val="22"/>
          <w:szCs w:val="22"/>
        </w:rPr>
        <w:t xml:space="preserve">5.2 </w:t>
      </w:r>
      <w:proofErr w:type="spellStart"/>
      <w:r w:rsidRPr="003C4BBB">
        <w:rPr>
          <w:rFonts w:asciiTheme="minorHAnsi" w:hAnsiTheme="minorHAnsi" w:cstheme="minorHAnsi"/>
          <w:sz w:val="22"/>
          <w:szCs w:val="22"/>
        </w:rPr>
        <w:t>Identito-vigilance</w:t>
      </w:r>
      <w:proofErr w:type="spellEnd"/>
      <w:r w:rsidRPr="003C4BBB">
        <w:rPr>
          <w:rFonts w:asciiTheme="minorHAnsi" w:hAnsiTheme="minorHAnsi" w:cstheme="minorHAnsi"/>
          <w:sz w:val="22"/>
          <w:szCs w:val="22"/>
        </w:rPr>
        <w:t xml:space="preserve"> et règles d'émission des résultats vers le SIL</w:t>
      </w:r>
      <w:bookmarkEnd w:id="28"/>
    </w:p>
    <w:p w14:paraId="2724E115"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 xml:space="preserve">La solution garantira l'identification positive du patient et de l'opérateur avant émission des résultats vers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La capture de l'identité s'effectue au niveau de l'analyseur (lecture code-barres ou saisie) ; les règles d'émission sont portées par le middleware. Le candidat décrira :</w:t>
      </w:r>
    </w:p>
    <w:p w14:paraId="4CDBBCFE" w14:textId="77777777" w:rsidR="00E83D52" w:rsidRPr="00206109" w:rsidRDefault="00E83D52" w:rsidP="00E83D52">
      <w:pPr>
        <w:numPr>
          <w:ilvl w:val="0"/>
          <w:numId w:val="8"/>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blocage de l'émission des résultats vers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lorsque le patient n'est pas correctement identifié ;</w:t>
      </w:r>
    </w:p>
    <w:p w14:paraId="24EE385D" w14:textId="77777777" w:rsidR="00E83D52" w:rsidRPr="00206109" w:rsidRDefault="00E83D52" w:rsidP="00E83D52">
      <w:pPr>
        <w:numPr>
          <w:ilvl w:val="0"/>
          <w:numId w:val="8"/>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prise en charge de la procédure d'urgence vitale en vigueur au CHU de Toulouse (identification provisoire de type « 777 ») : l'analyse devra pouvoir être réalisée immédiatement, l'émission du résultat vers le SIL n'intervenant qu'après régularisation de l'identité (scan </w:t>
      </w:r>
      <w:r w:rsidRPr="00206109">
        <w:rPr>
          <w:rFonts w:asciiTheme="minorHAnsi" w:hAnsiTheme="minorHAnsi" w:cstheme="minorHAnsi"/>
          <w:i/>
          <w:iCs/>
        </w:rPr>
        <w:t>a posteriori</w:t>
      </w:r>
      <w:r w:rsidRPr="00206109">
        <w:rPr>
          <w:rFonts w:asciiTheme="minorHAnsi" w:hAnsiTheme="minorHAnsi" w:cstheme="minorHAnsi"/>
        </w:rPr>
        <w:t xml:space="preserve"> de l'étiquette patient par le service) ;</w:t>
      </w:r>
    </w:p>
    <w:p w14:paraId="61F50453" w14:textId="77777777" w:rsidR="00E83D52" w:rsidRPr="00206109" w:rsidRDefault="00E83D52" w:rsidP="00E83D52">
      <w:pPr>
        <w:numPr>
          <w:ilvl w:val="0"/>
          <w:numId w:val="8"/>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mécanismes de mise en attente, de blocage et de libération automatique des résultats à la régularisation ;</w:t>
      </w:r>
    </w:p>
    <w:p w14:paraId="0FB3DB5E" w14:textId="77777777" w:rsidR="00E83D52" w:rsidRPr="00206109" w:rsidRDefault="00E83D52" w:rsidP="00E83D52">
      <w:pPr>
        <w:numPr>
          <w:ilvl w:val="0"/>
          <w:numId w:val="8"/>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traçabilité complète des évènements d'identification (provisoire, régularisée, refusée) dans le journal d'audit ;</w:t>
      </w:r>
    </w:p>
    <w:p w14:paraId="01F35841" w14:textId="5C7252F9" w:rsidR="00E83D52" w:rsidRPr="00206109" w:rsidRDefault="00E83D52" w:rsidP="00E83D52">
      <w:pPr>
        <w:numPr>
          <w:ilvl w:val="0"/>
          <w:numId w:val="8"/>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contrôles de cohérence (date de naissance, sexe, doublons) éventuellement mis en œuvre.</w:t>
      </w:r>
      <w:r w:rsidR="00206109" w:rsidRPr="00206109">
        <w:rPr>
          <w:rFonts w:asciiTheme="minorHAnsi" w:hAnsiTheme="minorHAnsi" w:cstheme="minorHAnsi"/>
        </w:rPr>
        <w:t xml:space="preserve"> Le candidat précisera en particulier la possibilité de définir des champs à saisie obligatoire conditionnant l'émission du résultat (champs « bloquants » si non renseignés — par exemple nom/prénom, température corporelle…), en indiquant lesquels sont paramétrables par le CHU et le comportement de la solution en cas de champ obligatoire manquant ;</w:t>
      </w:r>
    </w:p>
    <w:p w14:paraId="72313900" w14:textId="2D4BF607" w:rsidR="00912EF3" w:rsidRPr="00912EF3" w:rsidRDefault="0075418C" w:rsidP="009A659F">
      <w:pPr>
        <w:pStyle w:val="font-claude-response-body"/>
        <w:numPr>
          <w:ilvl w:val="0"/>
          <w:numId w:val="8"/>
        </w:numPr>
        <w:jc w:val="both"/>
        <w:rPr>
          <w:rFonts w:asciiTheme="minorHAnsi" w:hAnsiTheme="minorHAnsi" w:cstheme="minorHAnsi"/>
          <w:sz w:val="22"/>
          <w:szCs w:val="22"/>
        </w:rPr>
      </w:pPr>
      <w:proofErr w:type="gramStart"/>
      <w:r w:rsidRPr="00206109">
        <w:rPr>
          <w:rStyle w:val="lev"/>
          <w:rFonts w:asciiTheme="minorHAnsi" w:hAnsiTheme="minorHAnsi" w:cstheme="minorHAnsi"/>
          <w:b w:val="0"/>
          <w:bCs w:val="0"/>
          <w:sz w:val="22"/>
          <w:szCs w:val="22"/>
        </w:rPr>
        <w:t>la</w:t>
      </w:r>
      <w:proofErr w:type="gramEnd"/>
      <w:r w:rsidRPr="00206109">
        <w:rPr>
          <w:rStyle w:val="lev"/>
          <w:rFonts w:asciiTheme="minorHAnsi" w:hAnsiTheme="minorHAnsi" w:cstheme="minorHAnsi"/>
          <w:b w:val="0"/>
          <w:bCs w:val="0"/>
          <w:sz w:val="22"/>
          <w:szCs w:val="22"/>
        </w:rPr>
        <w:t xml:space="preserve"> possibilité de modifier a posteriori les données démographiques d'un résultat déjà enregistré (identité patient inconnue ou provisoire, correction d'une erreur de saisie), avec réémission automatique du résultat corrigé vers le SIL </w:t>
      </w:r>
      <w:proofErr w:type="spellStart"/>
      <w:r w:rsidRPr="00206109">
        <w:rPr>
          <w:rStyle w:val="lev"/>
          <w:rFonts w:asciiTheme="minorHAnsi" w:hAnsiTheme="minorHAnsi" w:cstheme="minorHAnsi"/>
          <w:b w:val="0"/>
          <w:bCs w:val="0"/>
          <w:sz w:val="22"/>
          <w:szCs w:val="22"/>
        </w:rPr>
        <w:t>Molis</w:t>
      </w:r>
      <w:proofErr w:type="spellEnd"/>
      <w:r w:rsidRPr="00206109">
        <w:rPr>
          <w:rStyle w:val="lev"/>
          <w:rFonts w:asciiTheme="minorHAnsi" w:hAnsiTheme="minorHAnsi" w:cstheme="minorHAnsi"/>
          <w:b w:val="0"/>
          <w:bCs w:val="0"/>
          <w:sz w:val="22"/>
          <w:szCs w:val="22"/>
        </w:rPr>
        <w:t xml:space="preserve"> ; le candidat précisera les droits requis pour effectuer cette opération et sa traçabilité dans le journal d'audit</w:t>
      </w:r>
      <w:r w:rsidRPr="00206109">
        <w:rPr>
          <w:rFonts w:asciiTheme="minorHAnsi" w:hAnsiTheme="minorHAnsi" w:cstheme="minorHAnsi"/>
          <w:sz w:val="22"/>
          <w:szCs w:val="22"/>
        </w:rPr>
        <w:t xml:space="preserve"> ;</w:t>
      </w:r>
    </w:p>
    <w:p w14:paraId="03CF3089" w14:textId="77777777" w:rsidR="0075418C" w:rsidRPr="00206109" w:rsidRDefault="0075418C" w:rsidP="009A659F">
      <w:pPr>
        <w:pStyle w:val="font-claude-response-body"/>
        <w:numPr>
          <w:ilvl w:val="0"/>
          <w:numId w:val="8"/>
        </w:numPr>
        <w:jc w:val="both"/>
        <w:rPr>
          <w:rFonts w:asciiTheme="minorHAnsi" w:hAnsiTheme="minorHAnsi" w:cstheme="minorHAnsi"/>
          <w:sz w:val="22"/>
          <w:szCs w:val="22"/>
        </w:rPr>
      </w:pPr>
      <w:proofErr w:type="gramStart"/>
      <w:r w:rsidRPr="00206109">
        <w:rPr>
          <w:rStyle w:val="lev"/>
          <w:rFonts w:asciiTheme="minorHAnsi" w:hAnsiTheme="minorHAnsi" w:cstheme="minorHAnsi"/>
          <w:b w:val="0"/>
          <w:bCs w:val="0"/>
          <w:sz w:val="22"/>
          <w:szCs w:val="22"/>
        </w:rPr>
        <w:lastRenderedPageBreak/>
        <w:t>la</w:t>
      </w:r>
      <w:proofErr w:type="gramEnd"/>
      <w:r w:rsidRPr="00206109">
        <w:rPr>
          <w:rStyle w:val="lev"/>
          <w:rFonts w:asciiTheme="minorHAnsi" w:hAnsiTheme="minorHAnsi" w:cstheme="minorHAnsi"/>
          <w:b w:val="0"/>
          <w:bCs w:val="0"/>
          <w:sz w:val="22"/>
          <w:szCs w:val="22"/>
        </w:rPr>
        <w:t xml:space="preserve"> possibilité de modifier a posteriori la température corporelle du patient sur un résultat déjà rendu, avec recalcul des paramètres </w:t>
      </w:r>
      <w:proofErr w:type="spellStart"/>
      <w:r w:rsidRPr="00206109">
        <w:rPr>
          <w:rStyle w:val="lev"/>
          <w:rFonts w:asciiTheme="minorHAnsi" w:hAnsiTheme="minorHAnsi" w:cstheme="minorHAnsi"/>
          <w:b w:val="0"/>
          <w:bCs w:val="0"/>
          <w:sz w:val="22"/>
          <w:szCs w:val="22"/>
        </w:rPr>
        <w:t>temperature-corrected</w:t>
      </w:r>
      <w:proofErr w:type="spellEnd"/>
      <w:r w:rsidRPr="00206109">
        <w:rPr>
          <w:rStyle w:val="lev"/>
          <w:rFonts w:asciiTheme="minorHAnsi" w:hAnsiTheme="minorHAnsi" w:cstheme="minorHAnsi"/>
          <w:b w:val="0"/>
          <w:bCs w:val="0"/>
          <w:sz w:val="22"/>
          <w:szCs w:val="22"/>
        </w:rPr>
        <w:t xml:space="preserve"> (pH(T), </w:t>
      </w:r>
      <w:proofErr w:type="spellStart"/>
      <w:r w:rsidRPr="00206109">
        <w:rPr>
          <w:rStyle w:val="lev"/>
          <w:rFonts w:asciiTheme="minorHAnsi" w:hAnsiTheme="minorHAnsi" w:cstheme="minorHAnsi"/>
          <w:b w:val="0"/>
          <w:bCs w:val="0"/>
          <w:sz w:val="22"/>
          <w:szCs w:val="22"/>
        </w:rPr>
        <w:t>pO</w:t>
      </w:r>
      <w:proofErr w:type="spellEnd"/>
      <w:r w:rsidRPr="00206109">
        <w:rPr>
          <w:rStyle w:val="lev"/>
          <w:rFonts w:asciiTheme="minorHAnsi" w:hAnsiTheme="minorHAnsi" w:cstheme="minorHAnsi"/>
          <w:b w:val="0"/>
          <w:bCs w:val="0"/>
          <w:sz w:val="22"/>
          <w:szCs w:val="22"/>
        </w:rPr>
        <w:t xml:space="preserve">₂(T), </w:t>
      </w:r>
      <w:proofErr w:type="spellStart"/>
      <w:r w:rsidRPr="00206109">
        <w:rPr>
          <w:rStyle w:val="lev"/>
          <w:rFonts w:asciiTheme="minorHAnsi" w:hAnsiTheme="minorHAnsi" w:cstheme="minorHAnsi"/>
          <w:b w:val="0"/>
          <w:bCs w:val="0"/>
          <w:sz w:val="22"/>
          <w:szCs w:val="22"/>
        </w:rPr>
        <w:t>pCO</w:t>
      </w:r>
      <w:proofErr w:type="spellEnd"/>
      <w:r w:rsidRPr="00206109">
        <w:rPr>
          <w:rStyle w:val="lev"/>
          <w:rFonts w:asciiTheme="minorHAnsi" w:hAnsiTheme="minorHAnsi" w:cstheme="minorHAnsi"/>
          <w:b w:val="0"/>
          <w:bCs w:val="0"/>
          <w:sz w:val="22"/>
          <w:szCs w:val="22"/>
        </w:rPr>
        <w:t xml:space="preserve">₂(T)) et renvoi des valeurs corrigées vers </w:t>
      </w:r>
      <w:proofErr w:type="spellStart"/>
      <w:r w:rsidRPr="00206109">
        <w:rPr>
          <w:rStyle w:val="lev"/>
          <w:rFonts w:asciiTheme="minorHAnsi" w:hAnsiTheme="minorHAnsi" w:cstheme="minorHAnsi"/>
          <w:b w:val="0"/>
          <w:bCs w:val="0"/>
          <w:sz w:val="22"/>
          <w:szCs w:val="22"/>
        </w:rPr>
        <w:t>Molis</w:t>
      </w:r>
      <w:proofErr w:type="spellEnd"/>
      <w:r w:rsidRPr="00206109">
        <w:rPr>
          <w:rStyle w:val="lev"/>
          <w:rFonts w:asciiTheme="minorHAnsi" w:hAnsiTheme="minorHAnsi" w:cstheme="minorHAnsi"/>
          <w:b w:val="0"/>
          <w:bCs w:val="0"/>
          <w:sz w:val="22"/>
          <w:szCs w:val="22"/>
        </w:rPr>
        <w:t>, conformément aux exigences décrites au §4.1</w:t>
      </w:r>
      <w:r w:rsidRPr="00206109">
        <w:rPr>
          <w:rFonts w:asciiTheme="minorHAnsi" w:hAnsiTheme="minorHAnsi" w:cstheme="minorHAnsi"/>
          <w:sz w:val="22"/>
          <w:szCs w:val="22"/>
        </w:rPr>
        <w:t>.</w:t>
      </w:r>
    </w:p>
    <w:p w14:paraId="3E859DDF" w14:textId="77777777" w:rsidR="0075418C" w:rsidRPr="00206109" w:rsidRDefault="0075418C" w:rsidP="009A659F">
      <w:pPr>
        <w:pStyle w:val="font-claude-response-body"/>
        <w:jc w:val="both"/>
        <w:rPr>
          <w:rFonts w:asciiTheme="minorHAnsi" w:hAnsiTheme="minorHAnsi" w:cstheme="minorHAnsi"/>
          <w:sz w:val="22"/>
          <w:szCs w:val="22"/>
        </w:rPr>
      </w:pPr>
      <w:r w:rsidRPr="00206109">
        <w:rPr>
          <w:rStyle w:val="lev"/>
          <w:rFonts w:asciiTheme="minorHAnsi" w:hAnsiTheme="minorHAnsi" w:cstheme="minorHAnsi"/>
          <w:b w:val="0"/>
          <w:bCs w:val="0"/>
          <w:sz w:val="22"/>
          <w:szCs w:val="22"/>
        </w:rPr>
        <w:t>Le candidat décrira également les fonctionnalités d'impression associées aux résultats patient : choix d'imprimer le résultat patient seul, le résultat CQ seul, ou les deux simultanément ; possibilité de réimprimer un résultat antérieur ; présence et paramétrage des alarmes analytiques et identitaires figurant sur le ticket résultat (valeurs critiques, alertes échantillon, identité provisoire).</w:t>
      </w:r>
    </w:p>
    <w:p w14:paraId="099DAA20" w14:textId="77777777" w:rsidR="0075418C" w:rsidRPr="00206109" w:rsidRDefault="0075418C" w:rsidP="00684439">
      <w:pPr>
        <w:spacing w:after="120"/>
        <w:ind w:left="720"/>
        <w:jc w:val="both"/>
        <w:rPr>
          <w:rFonts w:asciiTheme="minorHAnsi" w:hAnsiTheme="minorHAnsi" w:cstheme="minorHAnsi"/>
        </w:rPr>
      </w:pPr>
    </w:p>
    <w:p w14:paraId="6F8D6471" w14:textId="77777777" w:rsidR="00E83D52" w:rsidRPr="003C4BBB" w:rsidRDefault="00E83D52" w:rsidP="00E83D52">
      <w:pPr>
        <w:pStyle w:val="Titre3"/>
        <w:rPr>
          <w:rFonts w:asciiTheme="minorHAnsi" w:hAnsiTheme="minorHAnsi" w:cstheme="minorHAnsi"/>
          <w:sz w:val="22"/>
          <w:szCs w:val="22"/>
        </w:rPr>
      </w:pPr>
      <w:bookmarkStart w:id="29" w:name="_Toc232759469"/>
      <w:r w:rsidRPr="003C4BBB">
        <w:rPr>
          <w:rFonts w:asciiTheme="minorHAnsi" w:hAnsiTheme="minorHAnsi" w:cstheme="minorHAnsi"/>
          <w:sz w:val="22"/>
          <w:szCs w:val="22"/>
        </w:rPr>
        <w:t>5.3 Gestion des natures de prélèvement et des matrices</w:t>
      </w:r>
      <w:bookmarkEnd w:id="29"/>
    </w:p>
    <w:p w14:paraId="1E53310D"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 xml:space="preserve">Le candidat précisera les natures de prélèvement gérées par les analyseurs et le middleware. Au-delà des types usuels (artériel, veineux, capillaire), la solution devra permettre la création et le paramétrage de natures spécifiques au CHU de Toulouse — notamment </w:t>
      </w:r>
      <w:r w:rsidRPr="00206109">
        <w:rPr>
          <w:rFonts w:asciiTheme="minorHAnsi" w:hAnsiTheme="minorHAnsi" w:cstheme="minorHAnsi"/>
          <w:b/>
          <w:bCs/>
        </w:rPr>
        <w:t>post-filtre, ECMO, cordon artériel, cordon veineux, scalp, liquide pleural</w:t>
      </w:r>
      <w:r w:rsidRPr="00206109">
        <w:rPr>
          <w:rFonts w:asciiTheme="minorHAnsi" w:hAnsiTheme="minorHAnsi" w:cstheme="minorHAnsi"/>
        </w:rPr>
        <w:t>. Le candidat décrira :</w:t>
      </w:r>
    </w:p>
    <w:p w14:paraId="788D7CC9" w14:textId="77777777" w:rsidR="00E83D52" w:rsidRPr="00206109" w:rsidRDefault="00E83D52" w:rsidP="00E83D52">
      <w:pPr>
        <w:numPr>
          <w:ilvl w:val="0"/>
          <w:numId w:val="9"/>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capacité à coder ces natures et à les transmettre (remontée) vers le SIL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w:t>
      </w:r>
    </w:p>
    <w:p w14:paraId="66F92CA5" w14:textId="77777777" w:rsidR="00E83D52" w:rsidRPr="00206109" w:rsidRDefault="00E83D52" w:rsidP="00E83D52">
      <w:pPr>
        <w:numPr>
          <w:ilvl w:val="0"/>
          <w:numId w:val="9"/>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mapping requis avec </w:t>
      </w:r>
      <w:proofErr w:type="spellStart"/>
      <w:r w:rsidRPr="00206109">
        <w:rPr>
          <w:rFonts w:asciiTheme="minorHAnsi" w:hAnsiTheme="minorHAnsi" w:cstheme="minorHAnsi"/>
        </w:rPr>
        <w:t>Molis</w:t>
      </w:r>
      <w:proofErr w:type="spellEnd"/>
      <w:r w:rsidRPr="00206109">
        <w:rPr>
          <w:rFonts w:asciiTheme="minorHAnsi" w:hAnsiTheme="minorHAnsi" w:cstheme="minorHAnsi"/>
        </w:rPr>
        <w:t xml:space="preserve"> et la procédure d'ajout d'une nature en cours de marché ;</w:t>
      </w:r>
    </w:p>
    <w:p w14:paraId="53079906" w14:textId="5E094D8F" w:rsidR="00912EF3" w:rsidRPr="00D06911" w:rsidRDefault="00E83D52" w:rsidP="00912EF3">
      <w:pPr>
        <w:numPr>
          <w:ilvl w:val="0"/>
          <w:numId w:val="9"/>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éventuelles limites (nombre de natures paramétrables, libellés, restrictions par instrument ou par service).</w:t>
      </w:r>
    </w:p>
    <w:p w14:paraId="30272D4B" w14:textId="77777777" w:rsidR="00E83D52" w:rsidRPr="003C4BBB" w:rsidRDefault="00E83D52" w:rsidP="00E83D52">
      <w:pPr>
        <w:pStyle w:val="Titre3"/>
        <w:rPr>
          <w:rFonts w:asciiTheme="minorHAnsi" w:hAnsiTheme="minorHAnsi" w:cstheme="minorHAnsi"/>
          <w:sz w:val="22"/>
          <w:szCs w:val="22"/>
        </w:rPr>
      </w:pPr>
      <w:bookmarkStart w:id="30" w:name="_Toc232759470"/>
      <w:r w:rsidRPr="003C4BBB">
        <w:rPr>
          <w:rFonts w:asciiTheme="minorHAnsi" w:hAnsiTheme="minorHAnsi" w:cstheme="minorHAnsi"/>
          <w:sz w:val="22"/>
          <w:szCs w:val="22"/>
        </w:rPr>
        <w:t>5.4 Suivi de production et journalisation</w:t>
      </w:r>
      <w:bookmarkEnd w:id="30"/>
    </w:p>
    <w:p w14:paraId="6A016359"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Le candidat décrira les fonctionnalités de supervision et de journalisation, accessibles aux référents et administrateurs :</w:t>
      </w:r>
    </w:p>
    <w:p w14:paraId="524D3209" w14:textId="090A4958" w:rsidR="00E83D52" w:rsidRPr="00206109" w:rsidRDefault="00E83D52" w:rsidP="00E83D52">
      <w:pPr>
        <w:numPr>
          <w:ilvl w:val="0"/>
          <w:numId w:val="10"/>
        </w:numPr>
        <w:spacing w:after="120"/>
        <w:jc w:val="both"/>
        <w:rPr>
          <w:rFonts w:asciiTheme="minorHAnsi" w:hAnsiTheme="minorHAnsi" w:cstheme="minorHAnsi"/>
        </w:rPr>
      </w:pPr>
      <w:proofErr w:type="gramStart"/>
      <w:r w:rsidRPr="00206109">
        <w:rPr>
          <w:rFonts w:asciiTheme="minorHAnsi" w:hAnsiTheme="minorHAnsi" w:cstheme="minorHAnsi"/>
        </w:rPr>
        <w:t>vue</w:t>
      </w:r>
      <w:proofErr w:type="gramEnd"/>
      <w:r w:rsidRPr="00206109">
        <w:rPr>
          <w:rFonts w:asciiTheme="minorHAnsi" w:hAnsiTheme="minorHAnsi" w:cstheme="minorHAnsi"/>
        </w:rPr>
        <w:t xml:space="preserve"> temps réel de l'état des  gazomètres et des automates tiers (en service, en panne, en maintenance, en calibration) ;</w:t>
      </w:r>
    </w:p>
    <w:p w14:paraId="768561E7" w14:textId="77777777" w:rsidR="00E83D52" w:rsidRPr="00206109" w:rsidRDefault="00E83D52" w:rsidP="00E83D52">
      <w:pPr>
        <w:numPr>
          <w:ilvl w:val="0"/>
          <w:numId w:val="10"/>
        </w:numPr>
        <w:spacing w:after="120"/>
        <w:jc w:val="both"/>
        <w:rPr>
          <w:rFonts w:asciiTheme="minorHAnsi" w:hAnsiTheme="minorHAnsi" w:cstheme="minorHAnsi"/>
        </w:rPr>
      </w:pPr>
      <w:proofErr w:type="gramStart"/>
      <w:r w:rsidRPr="00206109">
        <w:rPr>
          <w:rFonts w:asciiTheme="minorHAnsi" w:hAnsiTheme="minorHAnsi" w:cstheme="minorHAnsi"/>
        </w:rPr>
        <w:t>volumes</w:t>
      </w:r>
      <w:proofErr w:type="gramEnd"/>
      <w:r w:rsidRPr="00206109">
        <w:rPr>
          <w:rFonts w:asciiTheme="minorHAnsi" w:hAnsiTheme="minorHAnsi" w:cstheme="minorHAnsi"/>
        </w:rPr>
        <w:t xml:space="preserve"> d'examens par paramètre, par opérateur, par service, par site et par période ;</w:t>
      </w:r>
    </w:p>
    <w:p w14:paraId="7609C490" w14:textId="77777777" w:rsidR="00E83D52" w:rsidRPr="00206109" w:rsidRDefault="00E83D52" w:rsidP="00E83D52">
      <w:pPr>
        <w:numPr>
          <w:ilvl w:val="0"/>
          <w:numId w:val="10"/>
        </w:numPr>
        <w:spacing w:after="120"/>
        <w:jc w:val="both"/>
        <w:rPr>
          <w:rFonts w:asciiTheme="minorHAnsi" w:hAnsiTheme="minorHAnsi" w:cstheme="minorHAnsi"/>
        </w:rPr>
      </w:pPr>
      <w:proofErr w:type="gramStart"/>
      <w:r w:rsidRPr="00206109">
        <w:rPr>
          <w:rFonts w:asciiTheme="minorHAnsi" w:hAnsiTheme="minorHAnsi" w:cstheme="minorHAnsi"/>
        </w:rPr>
        <w:t>journal</w:t>
      </w:r>
      <w:proofErr w:type="gramEnd"/>
      <w:r w:rsidRPr="00206109">
        <w:rPr>
          <w:rFonts w:asciiTheme="minorHAnsi" w:hAnsiTheme="minorHAnsi" w:cstheme="minorHAnsi"/>
        </w:rPr>
        <w:t xml:space="preserve"> d'événements horodaté (alarmes, erreurs, blocages, interventions) ;</w:t>
      </w:r>
    </w:p>
    <w:p w14:paraId="6FC6CD02" w14:textId="77777777" w:rsidR="00E83D52" w:rsidRPr="00206109" w:rsidRDefault="00E83D52" w:rsidP="00E83D52">
      <w:pPr>
        <w:numPr>
          <w:ilvl w:val="0"/>
          <w:numId w:val="10"/>
        </w:numPr>
        <w:spacing w:after="120"/>
        <w:jc w:val="both"/>
        <w:rPr>
          <w:rFonts w:asciiTheme="minorHAnsi" w:hAnsiTheme="minorHAnsi" w:cstheme="minorHAnsi"/>
        </w:rPr>
      </w:pPr>
      <w:proofErr w:type="gramStart"/>
      <w:r w:rsidRPr="00206109">
        <w:rPr>
          <w:rFonts w:asciiTheme="minorHAnsi" w:hAnsiTheme="minorHAnsi" w:cstheme="minorHAnsi"/>
        </w:rPr>
        <w:t>traçabilité</w:t>
      </w:r>
      <w:proofErr w:type="gramEnd"/>
      <w:r w:rsidRPr="00206109">
        <w:rPr>
          <w:rFonts w:asciiTheme="minorHAnsi" w:hAnsiTheme="minorHAnsi" w:cstheme="minorHAnsi"/>
        </w:rPr>
        <w:t xml:space="preserve"> des lots de réactifs, </w:t>
      </w:r>
      <w:proofErr w:type="spellStart"/>
      <w:r w:rsidRPr="00206109">
        <w:rPr>
          <w:rFonts w:asciiTheme="minorHAnsi" w:hAnsiTheme="minorHAnsi" w:cstheme="minorHAnsi"/>
        </w:rPr>
        <w:t>calibrants</w:t>
      </w:r>
      <w:proofErr w:type="spellEnd"/>
      <w:r w:rsidRPr="00206109">
        <w:rPr>
          <w:rFonts w:asciiTheme="minorHAnsi" w:hAnsiTheme="minorHAnsi" w:cstheme="minorHAnsi"/>
        </w:rPr>
        <w:t xml:space="preserve"> et contrôles utilisés par analyseur, avec rapprochement résultat ↔ lot ;</w:t>
      </w:r>
    </w:p>
    <w:p w14:paraId="38B3B9F1" w14:textId="77777777" w:rsidR="00E83D52" w:rsidRPr="00206109" w:rsidRDefault="00E83D52" w:rsidP="00E83D52">
      <w:pPr>
        <w:numPr>
          <w:ilvl w:val="0"/>
          <w:numId w:val="10"/>
        </w:numPr>
        <w:spacing w:after="120"/>
        <w:jc w:val="both"/>
        <w:rPr>
          <w:rFonts w:asciiTheme="minorHAnsi" w:hAnsiTheme="minorHAnsi" w:cstheme="minorHAnsi"/>
        </w:rPr>
      </w:pPr>
      <w:proofErr w:type="gramStart"/>
      <w:r w:rsidRPr="00206109">
        <w:rPr>
          <w:rFonts w:asciiTheme="minorHAnsi" w:hAnsiTheme="minorHAnsi" w:cstheme="minorHAnsi"/>
        </w:rPr>
        <w:t>suivi</w:t>
      </w:r>
      <w:proofErr w:type="gramEnd"/>
      <w:r w:rsidRPr="00206109">
        <w:rPr>
          <w:rFonts w:asciiTheme="minorHAnsi" w:hAnsiTheme="minorHAnsi" w:cstheme="minorHAnsi"/>
        </w:rPr>
        <w:t xml:space="preserve"> des consommations et alertes paramétrables (seuils de stock, péremption de lots, dérives) ;</w:t>
      </w:r>
    </w:p>
    <w:p w14:paraId="2F4A28A5" w14:textId="64EF7142" w:rsidR="00E83D52" w:rsidRPr="00D06911" w:rsidRDefault="00E83D52" w:rsidP="00D06911">
      <w:pPr>
        <w:numPr>
          <w:ilvl w:val="0"/>
          <w:numId w:val="10"/>
        </w:numPr>
        <w:spacing w:after="120"/>
        <w:jc w:val="both"/>
        <w:rPr>
          <w:rFonts w:asciiTheme="minorHAnsi" w:hAnsiTheme="minorHAnsi" w:cstheme="minorHAnsi"/>
        </w:rPr>
      </w:pPr>
      <w:proofErr w:type="gramStart"/>
      <w:r w:rsidRPr="00206109">
        <w:rPr>
          <w:rFonts w:asciiTheme="minorHAnsi" w:hAnsiTheme="minorHAnsi" w:cstheme="minorHAnsi"/>
        </w:rPr>
        <w:t>rétention</w:t>
      </w:r>
      <w:proofErr w:type="gramEnd"/>
      <w:r w:rsidRPr="00206109">
        <w:rPr>
          <w:rFonts w:asciiTheme="minorHAnsi" w:hAnsiTheme="minorHAnsi" w:cstheme="minorHAnsi"/>
        </w:rPr>
        <w:t xml:space="preserve"> et profondeur d'historisation accessibles en ligne sur les 8 années du marché.</w:t>
      </w:r>
    </w:p>
    <w:p w14:paraId="7AAE5C1A" w14:textId="77777777" w:rsidR="00E83D52" w:rsidRPr="003C4BBB" w:rsidRDefault="00E83D52" w:rsidP="00E83D52">
      <w:pPr>
        <w:pStyle w:val="Titre3"/>
        <w:rPr>
          <w:rFonts w:asciiTheme="minorHAnsi" w:hAnsiTheme="minorHAnsi" w:cstheme="minorHAnsi"/>
          <w:sz w:val="22"/>
          <w:szCs w:val="22"/>
        </w:rPr>
      </w:pPr>
      <w:bookmarkStart w:id="31" w:name="_Toc232759471"/>
      <w:r w:rsidRPr="003C4BBB">
        <w:rPr>
          <w:rFonts w:asciiTheme="minorHAnsi" w:hAnsiTheme="minorHAnsi" w:cstheme="minorHAnsi"/>
          <w:sz w:val="22"/>
          <w:szCs w:val="22"/>
        </w:rPr>
        <w:t>5.5 Contrôles qualité et suivi des performances</w:t>
      </w:r>
      <w:bookmarkEnd w:id="31"/>
    </w:p>
    <w:p w14:paraId="0E1052B3" w14:textId="34964E2B"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La solution devra assurer le pilotage qualité de l'ensemble du parc pendant toute la durée du marché. Le candidat décrira :</w:t>
      </w:r>
    </w:p>
    <w:p w14:paraId="23415D3E" w14:textId="77777777" w:rsidR="00E83D52" w:rsidRPr="00206109" w:rsidRDefault="00E83D52" w:rsidP="00E83D52">
      <w:pPr>
        <w:numPr>
          <w:ilvl w:val="0"/>
          <w:numId w:val="11"/>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remontée et l'exploitation des CIQ (a minima 3 niveaux, 3 passages / jour / analyseur, 365 j/an) et des EEQ ;</w:t>
      </w:r>
    </w:p>
    <w:p w14:paraId="1DA2E08D" w14:textId="77777777" w:rsidR="00E83D52" w:rsidRPr="00206109" w:rsidRDefault="00E83D52" w:rsidP="00E83D52">
      <w:pPr>
        <w:numPr>
          <w:ilvl w:val="0"/>
          <w:numId w:val="11"/>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représentations graphiques de type </w:t>
      </w:r>
      <w:proofErr w:type="spellStart"/>
      <w:r w:rsidRPr="00206109">
        <w:rPr>
          <w:rFonts w:asciiTheme="minorHAnsi" w:hAnsiTheme="minorHAnsi" w:cstheme="minorHAnsi"/>
        </w:rPr>
        <w:t>Levey</w:t>
      </w:r>
      <w:proofErr w:type="spellEnd"/>
      <w:r w:rsidRPr="00206109">
        <w:rPr>
          <w:rFonts w:asciiTheme="minorHAnsi" w:hAnsiTheme="minorHAnsi" w:cstheme="minorHAnsi"/>
        </w:rPr>
        <w:t xml:space="preserve">-Jennings et l'application des règles de </w:t>
      </w:r>
      <w:proofErr w:type="spellStart"/>
      <w:r w:rsidRPr="00206109">
        <w:rPr>
          <w:rFonts w:asciiTheme="minorHAnsi" w:hAnsiTheme="minorHAnsi" w:cstheme="minorHAnsi"/>
        </w:rPr>
        <w:t>Westgard</w:t>
      </w:r>
      <w:proofErr w:type="spellEnd"/>
      <w:r w:rsidRPr="00206109">
        <w:rPr>
          <w:rFonts w:asciiTheme="minorHAnsi" w:hAnsiTheme="minorHAnsi" w:cstheme="minorHAnsi"/>
        </w:rPr>
        <w:t xml:space="preserve"> paramétrables ;</w:t>
      </w:r>
    </w:p>
    <w:p w14:paraId="0C8D5093" w14:textId="77777777" w:rsidR="00E83D52" w:rsidRPr="00206109" w:rsidRDefault="00E83D52" w:rsidP="00E83D52">
      <w:pPr>
        <w:numPr>
          <w:ilvl w:val="0"/>
          <w:numId w:val="11"/>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calcul des moyennes, écarts-types, CV%, incertitudes de mesure et fidélité intermédiaire par paramètre et par analyseur ;</w:t>
      </w:r>
    </w:p>
    <w:p w14:paraId="2458D898" w14:textId="77777777" w:rsidR="00E83D52" w:rsidRPr="00206109" w:rsidRDefault="00E83D52" w:rsidP="00E83D52">
      <w:pPr>
        <w:numPr>
          <w:ilvl w:val="0"/>
          <w:numId w:val="11"/>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comparaisons inter-instruments (laboratoire / délocalisé, intra-site, inter-sites) ;</w:t>
      </w:r>
    </w:p>
    <w:p w14:paraId="7F79F3BD" w14:textId="3EBEDAE4" w:rsidR="00E83D52" w:rsidRPr="00206109" w:rsidRDefault="00E83D52" w:rsidP="00E83D52">
      <w:pPr>
        <w:numPr>
          <w:ilvl w:val="0"/>
          <w:numId w:val="11"/>
        </w:numPr>
        <w:spacing w:after="120"/>
        <w:jc w:val="both"/>
        <w:rPr>
          <w:rFonts w:asciiTheme="minorHAnsi" w:hAnsiTheme="minorHAnsi" w:cstheme="minorHAnsi"/>
        </w:rPr>
      </w:pPr>
      <w:proofErr w:type="gramStart"/>
      <w:r w:rsidRPr="00206109">
        <w:rPr>
          <w:rFonts w:asciiTheme="minorHAnsi" w:hAnsiTheme="minorHAnsi" w:cstheme="minorHAnsi"/>
        </w:rPr>
        <w:lastRenderedPageBreak/>
        <w:t>les</w:t>
      </w:r>
      <w:proofErr w:type="gramEnd"/>
      <w:r w:rsidRPr="00206109">
        <w:rPr>
          <w:rFonts w:asciiTheme="minorHAnsi" w:hAnsiTheme="minorHAnsi" w:cstheme="minorHAnsi"/>
        </w:rPr>
        <w:t xml:space="preserve"> outils d'aide à l'accréditation ISO 15189:2022 et au remplissage des SH FORM du Cofrac (notamment SH FORM 43) ;</w:t>
      </w:r>
    </w:p>
    <w:p w14:paraId="0488A687" w14:textId="77777777" w:rsidR="00E83D52" w:rsidRPr="00206109" w:rsidRDefault="00E83D52" w:rsidP="00E83D52">
      <w:pPr>
        <w:numPr>
          <w:ilvl w:val="0"/>
          <w:numId w:val="11"/>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exports (CSV, XML, PDF, Excel) et la capacité à automatiser la production et la diffusion des rapports qualité.</w:t>
      </w:r>
    </w:p>
    <w:p w14:paraId="09694F1B"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Ces fonctionnalités devront couvrir indifféremment les gazomètres et les automates tiers, dans la limite des protocoles supportés par ces derniers (cf. §5.8).</w:t>
      </w:r>
    </w:p>
    <w:p w14:paraId="280C6BEB" w14:textId="77777777" w:rsidR="00E83D52" w:rsidRPr="003C4BBB" w:rsidRDefault="00E83D52" w:rsidP="00E83D52">
      <w:pPr>
        <w:pStyle w:val="Titre3"/>
        <w:rPr>
          <w:rFonts w:asciiTheme="minorHAnsi" w:hAnsiTheme="minorHAnsi" w:cstheme="minorHAnsi"/>
          <w:sz w:val="22"/>
          <w:szCs w:val="22"/>
        </w:rPr>
      </w:pPr>
      <w:bookmarkStart w:id="32" w:name="_Toc232759472"/>
      <w:r w:rsidRPr="003C4BBB">
        <w:rPr>
          <w:rFonts w:asciiTheme="minorHAnsi" w:hAnsiTheme="minorHAnsi" w:cstheme="minorHAnsi"/>
          <w:sz w:val="22"/>
          <w:szCs w:val="22"/>
        </w:rPr>
        <w:t>5.6 Rapports et exports</w:t>
      </w:r>
      <w:bookmarkEnd w:id="32"/>
    </w:p>
    <w:p w14:paraId="7F94D72E"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Le candidat décrira :</w:t>
      </w:r>
    </w:p>
    <w:p w14:paraId="0C10047D" w14:textId="77777777" w:rsidR="00E83D52" w:rsidRPr="00206109" w:rsidRDefault="00E83D52" w:rsidP="00E83D52">
      <w:pPr>
        <w:numPr>
          <w:ilvl w:val="0"/>
          <w:numId w:val="12"/>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rapports prédéfinis livrés en standard (activité opérateurs, calibrations, conformité CQ, opérateurs inactifs, alarmes, consommation lots…) ;</w:t>
      </w:r>
    </w:p>
    <w:p w14:paraId="5D88DDCA" w14:textId="77777777" w:rsidR="00E83D52" w:rsidRPr="00206109" w:rsidRDefault="00E83D52" w:rsidP="00E83D52">
      <w:pPr>
        <w:numPr>
          <w:ilvl w:val="0"/>
          <w:numId w:val="12"/>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capacité à créer des rapports paramétrables par les référents qualité du CHU ;</w:t>
      </w:r>
    </w:p>
    <w:p w14:paraId="66B178EE" w14:textId="77777777" w:rsidR="00E83D52" w:rsidRPr="00206109" w:rsidRDefault="00E83D52" w:rsidP="00E83D52">
      <w:pPr>
        <w:numPr>
          <w:ilvl w:val="0"/>
          <w:numId w:val="12"/>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programmation et la diffusion automatique des rapports (envoi par mail, dépôt sur un partage CHU) ;</w:t>
      </w:r>
    </w:p>
    <w:p w14:paraId="4179278A" w14:textId="77777777" w:rsidR="00E83D52" w:rsidRPr="00206109" w:rsidRDefault="00E83D52" w:rsidP="00E83D52">
      <w:pPr>
        <w:numPr>
          <w:ilvl w:val="0"/>
          <w:numId w:val="12"/>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formats d'export ouverts disponibles (CSV, XML, PDF, Excel) ;</w:t>
      </w:r>
    </w:p>
    <w:p w14:paraId="5FEEB43E" w14:textId="3D53ED85" w:rsidR="00E83D52" w:rsidRPr="00206109" w:rsidRDefault="00E83D52" w:rsidP="00E83D52">
      <w:pPr>
        <w:numPr>
          <w:ilvl w:val="0"/>
          <w:numId w:val="12"/>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disponibilité éventuelle d'une API documentée pour interrogation externe (à préciser : protocole, authentification, débit).</w:t>
      </w:r>
    </w:p>
    <w:p w14:paraId="375E3474" w14:textId="20E11382" w:rsidR="00E93497" w:rsidRPr="00206109" w:rsidRDefault="00E93497" w:rsidP="00596930">
      <w:pPr>
        <w:spacing w:after="120"/>
        <w:jc w:val="both"/>
        <w:rPr>
          <w:rFonts w:asciiTheme="minorHAnsi" w:hAnsiTheme="minorHAnsi" w:cstheme="minorHAnsi"/>
        </w:rPr>
      </w:pPr>
      <w:r w:rsidRPr="00206109">
        <w:rPr>
          <w:rFonts w:asciiTheme="minorHAnsi" w:hAnsiTheme="minorHAnsi" w:cstheme="minorHAnsi"/>
        </w:rPr>
        <w:t>Il sera également précisé la capacité à envoyer automatiquement des données techniques par les équipements en cas de panne.</w:t>
      </w:r>
    </w:p>
    <w:p w14:paraId="6385A9EE" w14:textId="77777777" w:rsidR="00E83D52" w:rsidRPr="00206109" w:rsidRDefault="00E83D52" w:rsidP="00E83D52">
      <w:pPr>
        <w:pStyle w:val="Titre3"/>
        <w:rPr>
          <w:rFonts w:asciiTheme="minorHAnsi" w:hAnsiTheme="minorHAnsi" w:cstheme="minorHAnsi"/>
        </w:rPr>
      </w:pPr>
      <w:bookmarkStart w:id="33" w:name="_Toc232759473"/>
      <w:r w:rsidRPr="00206109">
        <w:rPr>
          <w:rFonts w:asciiTheme="minorHAnsi" w:hAnsiTheme="minorHAnsi" w:cstheme="minorHAnsi"/>
        </w:rPr>
        <w:t>5.7 Prise en main et maintenance à distance des analyseurs</w:t>
      </w:r>
      <w:bookmarkEnd w:id="33"/>
    </w:p>
    <w:p w14:paraId="19D4EF86"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Le candidat décrira les fonctionnalités de télégestion offertes par le middleware :</w:t>
      </w:r>
    </w:p>
    <w:p w14:paraId="18F595EA" w14:textId="77777777" w:rsidR="00E83D52" w:rsidRPr="00206109" w:rsidRDefault="00E83D52" w:rsidP="00E83D52">
      <w:pPr>
        <w:numPr>
          <w:ilvl w:val="0"/>
          <w:numId w:val="13"/>
        </w:numPr>
        <w:spacing w:after="120"/>
        <w:jc w:val="both"/>
        <w:rPr>
          <w:rFonts w:asciiTheme="minorHAnsi" w:hAnsiTheme="minorHAnsi" w:cstheme="minorHAnsi"/>
        </w:rPr>
      </w:pPr>
      <w:proofErr w:type="gramStart"/>
      <w:r w:rsidRPr="00206109">
        <w:rPr>
          <w:rFonts w:asciiTheme="minorHAnsi" w:hAnsiTheme="minorHAnsi" w:cstheme="minorHAnsi"/>
        </w:rPr>
        <w:t>visualisation</w:t>
      </w:r>
      <w:proofErr w:type="gramEnd"/>
      <w:r w:rsidRPr="00206109">
        <w:rPr>
          <w:rFonts w:asciiTheme="minorHAnsi" w:hAnsiTheme="minorHAnsi" w:cstheme="minorHAnsi"/>
        </w:rPr>
        <w:t xml:space="preserve"> à distance de l'état, des alarmes, des consommables et des compteurs de chaque analyseur ;</w:t>
      </w:r>
    </w:p>
    <w:p w14:paraId="2084E842" w14:textId="77777777" w:rsidR="00E83D52" w:rsidRPr="00206109" w:rsidRDefault="00E83D52" w:rsidP="00E83D52">
      <w:pPr>
        <w:numPr>
          <w:ilvl w:val="0"/>
          <w:numId w:val="13"/>
        </w:numPr>
        <w:spacing w:after="120"/>
        <w:jc w:val="both"/>
        <w:rPr>
          <w:rFonts w:asciiTheme="minorHAnsi" w:hAnsiTheme="minorHAnsi" w:cstheme="minorHAnsi"/>
        </w:rPr>
      </w:pPr>
      <w:proofErr w:type="gramStart"/>
      <w:r w:rsidRPr="00206109">
        <w:rPr>
          <w:rFonts w:asciiTheme="minorHAnsi" w:hAnsiTheme="minorHAnsi" w:cstheme="minorHAnsi"/>
        </w:rPr>
        <w:t>téléchargement</w:t>
      </w:r>
      <w:proofErr w:type="gramEnd"/>
      <w:r w:rsidRPr="00206109">
        <w:rPr>
          <w:rFonts w:asciiTheme="minorHAnsi" w:hAnsiTheme="minorHAnsi" w:cstheme="minorHAnsi"/>
        </w:rPr>
        <w:t>, sauvegarde et restauration de la configuration ;</w:t>
      </w:r>
    </w:p>
    <w:p w14:paraId="25CEF2F0" w14:textId="77777777" w:rsidR="00E83D52" w:rsidRPr="00206109" w:rsidRDefault="00E83D52" w:rsidP="00E83D52">
      <w:pPr>
        <w:numPr>
          <w:ilvl w:val="0"/>
          <w:numId w:val="13"/>
        </w:numPr>
        <w:spacing w:after="120"/>
        <w:jc w:val="both"/>
        <w:rPr>
          <w:rFonts w:asciiTheme="minorHAnsi" w:hAnsiTheme="minorHAnsi" w:cstheme="minorHAnsi"/>
        </w:rPr>
      </w:pPr>
      <w:proofErr w:type="gramStart"/>
      <w:r w:rsidRPr="00206109">
        <w:rPr>
          <w:rFonts w:asciiTheme="minorHAnsi" w:hAnsiTheme="minorHAnsi" w:cstheme="minorHAnsi"/>
        </w:rPr>
        <w:t>blocage</w:t>
      </w:r>
      <w:proofErr w:type="gramEnd"/>
      <w:r w:rsidRPr="00206109">
        <w:rPr>
          <w:rFonts w:asciiTheme="minorHAnsi" w:hAnsiTheme="minorHAnsi" w:cstheme="minorHAnsi"/>
        </w:rPr>
        <w:t xml:space="preserve"> / déblocage à distance d'un instrument ;</w:t>
      </w:r>
    </w:p>
    <w:p w14:paraId="0F4A9531" w14:textId="77777777" w:rsidR="00E83D52" w:rsidRPr="00206109" w:rsidRDefault="00E83D52" w:rsidP="00E83D52">
      <w:pPr>
        <w:numPr>
          <w:ilvl w:val="0"/>
          <w:numId w:val="13"/>
        </w:numPr>
        <w:spacing w:after="120"/>
        <w:jc w:val="both"/>
        <w:rPr>
          <w:rFonts w:asciiTheme="minorHAnsi" w:hAnsiTheme="minorHAnsi" w:cstheme="minorHAnsi"/>
        </w:rPr>
      </w:pPr>
      <w:proofErr w:type="gramStart"/>
      <w:r w:rsidRPr="00206109">
        <w:rPr>
          <w:rFonts w:asciiTheme="minorHAnsi" w:hAnsiTheme="minorHAnsi" w:cstheme="minorHAnsi"/>
        </w:rPr>
        <w:t>diffusion</w:t>
      </w:r>
      <w:proofErr w:type="gramEnd"/>
      <w:r w:rsidRPr="00206109">
        <w:rPr>
          <w:rFonts w:asciiTheme="minorHAnsi" w:hAnsiTheme="minorHAnsi" w:cstheme="minorHAnsi"/>
        </w:rPr>
        <w:t xml:space="preserve"> centralisée des paramétrages (listes opérateurs, profils, règles CQ, plages de référence) ;</w:t>
      </w:r>
    </w:p>
    <w:p w14:paraId="3B4A2E86" w14:textId="5F5E93D7" w:rsidR="00E83D52" w:rsidRPr="00206109" w:rsidRDefault="00E83D52" w:rsidP="00E83D52">
      <w:pPr>
        <w:numPr>
          <w:ilvl w:val="0"/>
          <w:numId w:val="13"/>
        </w:numPr>
        <w:spacing w:after="120"/>
        <w:jc w:val="both"/>
        <w:rPr>
          <w:rFonts w:asciiTheme="minorHAnsi" w:hAnsiTheme="minorHAnsi" w:cstheme="minorHAnsi"/>
        </w:rPr>
      </w:pPr>
      <w:proofErr w:type="gramStart"/>
      <w:r w:rsidRPr="00206109">
        <w:rPr>
          <w:rFonts w:asciiTheme="minorHAnsi" w:hAnsiTheme="minorHAnsi" w:cstheme="minorHAnsi"/>
        </w:rPr>
        <w:t>périmètre</w:t>
      </w:r>
      <w:proofErr w:type="gramEnd"/>
      <w:r w:rsidRPr="00206109">
        <w:rPr>
          <w:rFonts w:asciiTheme="minorHAnsi" w:hAnsiTheme="minorHAnsi" w:cstheme="minorHAnsi"/>
        </w:rPr>
        <w:t xml:space="preserve"> exact pour les 20 gazomètres et, dans la limite des protocoles supportés, pour les automates tiers</w:t>
      </w:r>
      <w:r w:rsidR="00B857D9">
        <w:rPr>
          <w:rFonts w:asciiTheme="minorHAnsi" w:hAnsiTheme="minorHAnsi" w:cstheme="minorHAnsi"/>
        </w:rPr>
        <w:t xml:space="preserve"> </w:t>
      </w:r>
      <w:r w:rsidRPr="00206109">
        <w:rPr>
          <w:rFonts w:asciiTheme="minorHAnsi" w:hAnsiTheme="minorHAnsi" w:cstheme="minorHAnsi"/>
        </w:rPr>
        <w:t>;</w:t>
      </w:r>
    </w:p>
    <w:p w14:paraId="27E7AD96" w14:textId="34EDB990" w:rsidR="00E83D52" w:rsidRPr="00206109" w:rsidRDefault="00E83D52" w:rsidP="00E83D52">
      <w:pPr>
        <w:numPr>
          <w:ilvl w:val="0"/>
          <w:numId w:val="13"/>
        </w:numPr>
        <w:spacing w:after="120"/>
        <w:jc w:val="both"/>
        <w:rPr>
          <w:rFonts w:asciiTheme="minorHAnsi" w:hAnsiTheme="minorHAnsi" w:cstheme="minorHAnsi"/>
        </w:rPr>
      </w:pPr>
      <w:proofErr w:type="gramStart"/>
      <w:r w:rsidRPr="00206109">
        <w:rPr>
          <w:rFonts w:asciiTheme="minorHAnsi" w:hAnsiTheme="minorHAnsi" w:cstheme="minorHAnsi"/>
        </w:rPr>
        <w:t>conformité</w:t>
      </w:r>
      <w:proofErr w:type="gramEnd"/>
      <w:r w:rsidRPr="00206109">
        <w:rPr>
          <w:rFonts w:asciiTheme="minorHAnsi" w:hAnsiTheme="minorHAnsi" w:cstheme="minorHAnsi"/>
        </w:rPr>
        <w:t xml:space="preserve"> à la solution Wallix Bastion du CHU pour les prises en main externes par le titulaire</w:t>
      </w:r>
      <w:r w:rsidR="00B857D9">
        <w:rPr>
          <w:rFonts w:asciiTheme="minorHAnsi" w:hAnsiTheme="minorHAnsi" w:cstheme="minorHAnsi"/>
        </w:rPr>
        <w:t>.</w:t>
      </w:r>
      <w:r w:rsidRPr="00206109">
        <w:rPr>
          <w:rFonts w:asciiTheme="minorHAnsi" w:hAnsiTheme="minorHAnsi" w:cstheme="minorHAnsi"/>
        </w:rPr>
        <w:t xml:space="preserve"> </w:t>
      </w:r>
    </w:p>
    <w:p w14:paraId="7DFB2456" w14:textId="77777777" w:rsidR="00E83D52" w:rsidRPr="00206109" w:rsidRDefault="00E83D52" w:rsidP="00E83D52">
      <w:pPr>
        <w:pStyle w:val="Titre3"/>
        <w:rPr>
          <w:rFonts w:asciiTheme="minorHAnsi" w:hAnsiTheme="minorHAnsi" w:cstheme="minorHAnsi"/>
        </w:rPr>
      </w:pPr>
      <w:bookmarkStart w:id="34" w:name="_Toc232759474"/>
      <w:r w:rsidRPr="00206109">
        <w:rPr>
          <w:rFonts w:asciiTheme="minorHAnsi" w:hAnsiTheme="minorHAnsi" w:cstheme="minorHAnsi"/>
        </w:rPr>
        <w:t>5.8 Instruments supportés et richesse de connexion</w:t>
      </w:r>
      <w:bookmarkEnd w:id="34"/>
    </w:p>
    <w:p w14:paraId="26ADF712" w14:textId="6E472819"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Le candidat fournira un tableau détaillé de connectivité précisant, pour chacun des gazomètres et des automates tiers listés au §2.6 (</w:t>
      </w:r>
      <w:proofErr w:type="spellStart"/>
      <w:r w:rsidRPr="00206109">
        <w:rPr>
          <w:rFonts w:asciiTheme="minorHAnsi" w:hAnsiTheme="minorHAnsi" w:cstheme="minorHAnsi"/>
        </w:rPr>
        <w:t>Atellica</w:t>
      </w:r>
      <w:proofErr w:type="spellEnd"/>
      <w:r w:rsidRPr="00206109">
        <w:rPr>
          <w:rFonts w:asciiTheme="minorHAnsi" w:hAnsiTheme="minorHAnsi" w:cstheme="minorHAnsi"/>
        </w:rPr>
        <w:t xml:space="preserve"> DCA, </w:t>
      </w:r>
      <w:proofErr w:type="spellStart"/>
      <w:r w:rsidRPr="00206109">
        <w:rPr>
          <w:rFonts w:asciiTheme="minorHAnsi" w:hAnsiTheme="minorHAnsi" w:cstheme="minorHAnsi"/>
        </w:rPr>
        <w:t>StatStrip</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GeneXpert</w:t>
      </w:r>
      <w:proofErr w:type="spellEnd"/>
      <w:r w:rsidRPr="00206109">
        <w:rPr>
          <w:rFonts w:asciiTheme="minorHAnsi" w:hAnsiTheme="minorHAnsi" w:cstheme="minorHAnsi"/>
        </w:rPr>
        <w:t xml:space="preserve">, </w:t>
      </w:r>
      <w:proofErr w:type="spellStart"/>
      <w:r w:rsidRPr="00206109">
        <w:rPr>
          <w:rFonts w:asciiTheme="minorHAnsi" w:hAnsiTheme="minorHAnsi" w:cstheme="minorHAnsi"/>
        </w:rPr>
        <w:t>Afinion</w:t>
      </w:r>
      <w:proofErr w:type="spellEnd"/>
      <w:r w:rsidRPr="00206109">
        <w:rPr>
          <w:rFonts w:asciiTheme="minorHAnsi" w:hAnsiTheme="minorHAnsi" w:cstheme="minorHAnsi"/>
        </w:rPr>
        <w:t xml:space="preserve"> 2, ID N</w:t>
      </w:r>
      <w:r w:rsidR="00B857D9">
        <w:rPr>
          <w:rFonts w:asciiTheme="minorHAnsi" w:hAnsiTheme="minorHAnsi" w:cstheme="minorHAnsi"/>
        </w:rPr>
        <w:t>OW</w:t>
      </w:r>
      <w:r w:rsidRPr="00206109">
        <w:rPr>
          <w:rFonts w:asciiTheme="minorHAnsi" w:hAnsiTheme="minorHAnsi" w:cstheme="minorHAnsi"/>
        </w:rPr>
        <w:t xml:space="preserve">, </w:t>
      </w:r>
      <w:proofErr w:type="spellStart"/>
      <w:r w:rsidRPr="00206109">
        <w:rPr>
          <w:rFonts w:asciiTheme="minorHAnsi" w:hAnsiTheme="minorHAnsi" w:cstheme="minorHAnsi"/>
        </w:rPr>
        <w:t>Hemochron</w:t>
      </w:r>
      <w:proofErr w:type="spellEnd"/>
      <w:r w:rsidRPr="00206109">
        <w:rPr>
          <w:rFonts w:asciiTheme="minorHAnsi" w:hAnsiTheme="minorHAnsi" w:cstheme="minorHAnsi"/>
        </w:rPr>
        <w:t xml:space="preserve"> Signature Elite, EPOC NXS, QUANTRA) :</w:t>
      </w:r>
    </w:p>
    <w:p w14:paraId="7AEC42E1" w14:textId="77777777" w:rsidR="00E83D52" w:rsidRPr="00206109" w:rsidRDefault="00E83D52" w:rsidP="00E83D52">
      <w:pPr>
        <w:numPr>
          <w:ilvl w:val="0"/>
          <w:numId w:val="14"/>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protocole d'échange supporté (POCT1-A2, HL7, ASTM, propriétaire) ;</w:t>
      </w:r>
    </w:p>
    <w:p w14:paraId="54CEADAB" w14:textId="77777777" w:rsidR="00E83D52" w:rsidRPr="00206109" w:rsidRDefault="00E83D52" w:rsidP="00E83D52">
      <w:pPr>
        <w:numPr>
          <w:ilvl w:val="0"/>
          <w:numId w:val="14"/>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caractère mono- ou bidirectionnel de la connexion ;</w:t>
      </w:r>
    </w:p>
    <w:p w14:paraId="17E963BF" w14:textId="77777777" w:rsidR="00E83D52" w:rsidRPr="00206109" w:rsidRDefault="00E83D52" w:rsidP="00E83D52">
      <w:pPr>
        <w:numPr>
          <w:ilvl w:val="0"/>
          <w:numId w:val="14"/>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capacités effectivement supportées par instrument : download opérateurs / habilitations, download identités patient, blocage opérateur non habilité, ID positive patient et opérateur, remontée des CIQ, prise en main à distance, blocage / libération d'émission.</w:t>
      </w:r>
    </w:p>
    <w:p w14:paraId="6FA45C11"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Le candidat précisera en outre :</w:t>
      </w:r>
    </w:p>
    <w:p w14:paraId="0F6CF589" w14:textId="77777777" w:rsidR="00E83D52" w:rsidRPr="00206109" w:rsidRDefault="00E83D52" w:rsidP="00E83D52">
      <w:pPr>
        <w:numPr>
          <w:ilvl w:val="0"/>
          <w:numId w:val="15"/>
        </w:numPr>
        <w:spacing w:after="120"/>
        <w:jc w:val="both"/>
        <w:rPr>
          <w:rFonts w:asciiTheme="minorHAnsi" w:hAnsiTheme="minorHAnsi" w:cstheme="minorHAnsi"/>
        </w:rPr>
      </w:pPr>
      <w:proofErr w:type="gramStart"/>
      <w:r w:rsidRPr="00206109">
        <w:rPr>
          <w:rFonts w:asciiTheme="minorHAnsi" w:hAnsiTheme="minorHAnsi" w:cstheme="minorHAnsi"/>
        </w:rPr>
        <w:lastRenderedPageBreak/>
        <w:t>la</w:t>
      </w:r>
      <w:proofErr w:type="gramEnd"/>
      <w:r w:rsidRPr="00206109">
        <w:rPr>
          <w:rFonts w:asciiTheme="minorHAnsi" w:hAnsiTheme="minorHAnsi" w:cstheme="minorHAnsi"/>
        </w:rPr>
        <w:t xml:space="preserve"> procédure et le délai type d'intégration d'un nouveau modèle d'analyseur en cours de marché ;</w:t>
      </w:r>
    </w:p>
    <w:p w14:paraId="621437E6" w14:textId="77777777" w:rsidR="00E83D52" w:rsidRPr="00206109" w:rsidRDefault="00E83D52" w:rsidP="00E83D52">
      <w:pPr>
        <w:numPr>
          <w:ilvl w:val="0"/>
          <w:numId w:val="15"/>
        </w:numPr>
        <w:spacing w:after="120"/>
        <w:jc w:val="both"/>
        <w:rPr>
          <w:rFonts w:asciiTheme="minorHAnsi" w:hAnsiTheme="minorHAnsi" w:cstheme="minorHAnsi"/>
        </w:rPr>
      </w:pPr>
      <w:proofErr w:type="gramStart"/>
      <w:r w:rsidRPr="00206109">
        <w:rPr>
          <w:rFonts w:asciiTheme="minorHAnsi" w:hAnsiTheme="minorHAnsi" w:cstheme="minorHAnsi"/>
        </w:rPr>
        <w:t>la</w:t>
      </w:r>
      <w:proofErr w:type="gramEnd"/>
      <w:r w:rsidRPr="00206109">
        <w:rPr>
          <w:rFonts w:asciiTheme="minorHAnsi" w:hAnsiTheme="minorHAnsi" w:cstheme="minorHAnsi"/>
        </w:rPr>
        <w:t xml:space="preserve"> grille tarifaire associée à ces intégrations (à reporter à l'Annexe Financière).</w:t>
      </w:r>
    </w:p>
    <w:p w14:paraId="1ABFD9BF" w14:textId="5DF4415C" w:rsidR="00E83D52" w:rsidRPr="00206109" w:rsidRDefault="00E83D52">
      <w:pPr>
        <w:spacing w:after="120"/>
        <w:jc w:val="both"/>
        <w:rPr>
          <w:rFonts w:asciiTheme="minorHAnsi" w:hAnsiTheme="minorHAnsi" w:cstheme="minorHAnsi"/>
        </w:rPr>
      </w:pPr>
    </w:p>
    <w:p w14:paraId="370532A6" w14:textId="77777777"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b/>
          <w:bCs/>
        </w:rPr>
        <w:t>Cas particulier des analyseurs EPOC NXS (Siemens)</w:t>
      </w:r>
    </w:p>
    <w:p w14:paraId="5D74E950" w14:textId="3E98BAC1"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Compte tenu</w:t>
      </w:r>
      <w:r w:rsidR="00394A0E" w:rsidRPr="00206109">
        <w:rPr>
          <w:rFonts w:asciiTheme="minorHAnsi" w:hAnsiTheme="minorHAnsi" w:cstheme="minorHAnsi"/>
        </w:rPr>
        <w:t xml:space="preserve"> </w:t>
      </w:r>
      <w:r w:rsidRPr="00206109">
        <w:rPr>
          <w:rFonts w:asciiTheme="minorHAnsi" w:hAnsiTheme="minorHAnsi" w:cstheme="minorHAnsi"/>
        </w:rPr>
        <w:t xml:space="preserve">de la dépendance actuelle au module </w:t>
      </w:r>
      <w:proofErr w:type="spellStart"/>
      <w:r w:rsidRPr="00206109">
        <w:rPr>
          <w:rFonts w:asciiTheme="minorHAnsi" w:hAnsiTheme="minorHAnsi" w:cstheme="minorHAnsi"/>
        </w:rPr>
        <w:t>Meditrac</w:t>
      </w:r>
      <w:proofErr w:type="spellEnd"/>
      <w:r w:rsidRPr="00206109">
        <w:rPr>
          <w:rFonts w:asciiTheme="minorHAnsi" w:hAnsiTheme="minorHAnsi" w:cstheme="minorHAnsi"/>
        </w:rPr>
        <w:t xml:space="preserve"> le candidat décrira précisément :</w:t>
      </w:r>
    </w:p>
    <w:p w14:paraId="69278830" w14:textId="33510EE2" w:rsidR="00E83D52" w:rsidRPr="00206109" w:rsidRDefault="00E83D52" w:rsidP="00E83D52">
      <w:pPr>
        <w:numPr>
          <w:ilvl w:val="0"/>
          <w:numId w:val="16"/>
        </w:numPr>
        <w:spacing w:after="120"/>
        <w:jc w:val="both"/>
        <w:rPr>
          <w:rFonts w:asciiTheme="minorHAnsi" w:hAnsiTheme="minorHAnsi" w:cstheme="minorHAnsi"/>
        </w:rPr>
      </w:pPr>
      <w:proofErr w:type="gramStart"/>
      <w:r w:rsidRPr="00206109">
        <w:rPr>
          <w:rFonts w:asciiTheme="minorHAnsi" w:hAnsiTheme="minorHAnsi" w:cstheme="minorHAnsi"/>
        </w:rPr>
        <w:t>sa</w:t>
      </w:r>
      <w:proofErr w:type="gramEnd"/>
      <w:r w:rsidRPr="00206109">
        <w:rPr>
          <w:rFonts w:asciiTheme="minorHAnsi" w:hAnsiTheme="minorHAnsi" w:cstheme="minorHAnsi"/>
        </w:rPr>
        <w:t xml:space="preserve"> stratégie de raccordement des EPOC NXS à son middleware : passage par </w:t>
      </w:r>
      <w:proofErr w:type="spellStart"/>
      <w:r w:rsidRPr="00206109">
        <w:rPr>
          <w:rFonts w:asciiTheme="minorHAnsi" w:hAnsiTheme="minorHAnsi" w:cstheme="minorHAnsi"/>
        </w:rPr>
        <w:t>Meditrac</w:t>
      </w:r>
      <w:proofErr w:type="spellEnd"/>
      <w:r w:rsidRPr="00206109">
        <w:rPr>
          <w:rFonts w:asciiTheme="minorHAnsi" w:hAnsiTheme="minorHAnsi" w:cstheme="minorHAnsi"/>
        </w:rPr>
        <w:t>, connexion directe, passerelle, ou autre — en précisant les conditions techniques.</w:t>
      </w:r>
    </w:p>
    <w:p w14:paraId="2CA08962" w14:textId="77777777" w:rsidR="00E83D52" w:rsidRPr="00206109" w:rsidRDefault="00E83D52" w:rsidP="00E83D52">
      <w:pPr>
        <w:numPr>
          <w:ilvl w:val="0"/>
          <w:numId w:val="16"/>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périmètre fonctionnel préservé sur les EPOC par sa solution, capacité par capacité : download opérateurs et habilitations, download identités patient, blocage opérateur non habilité, ID positive patient et opérateur, remontée des CIQ, prise en main à distance, diffusion centralisée des mises à jour de paramétrage et de configuration ;</w:t>
      </w:r>
    </w:p>
    <w:p w14:paraId="25C33651" w14:textId="77777777" w:rsidR="00E83D52" w:rsidRPr="00206109" w:rsidRDefault="00E83D52" w:rsidP="00E83D52">
      <w:pPr>
        <w:numPr>
          <w:ilvl w:val="0"/>
          <w:numId w:val="16"/>
        </w:numPr>
        <w:spacing w:after="120"/>
        <w:jc w:val="both"/>
        <w:rPr>
          <w:rFonts w:asciiTheme="minorHAnsi" w:hAnsiTheme="minorHAnsi" w:cstheme="minorHAnsi"/>
        </w:rPr>
      </w:pPr>
      <w:proofErr w:type="gramStart"/>
      <w:r w:rsidRPr="00206109">
        <w:rPr>
          <w:rFonts w:asciiTheme="minorHAnsi" w:hAnsiTheme="minorHAnsi" w:cstheme="minorHAnsi"/>
        </w:rPr>
        <w:t>le</w:t>
      </w:r>
      <w:proofErr w:type="gramEnd"/>
      <w:r w:rsidRPr="00206109">
        <w:rPr>
          <w:rFonts w:asciiTheme="minorHAnsi" w:hAnsiTheme="minorHAnsi" w:cstheme="minorHAnsi"/>
        </w:rPr>
        <w:t xml:space="preserve"> périmètre fonctionnel non couvert</w:t>
      </w:r>
      <w:r w:rsidRPr="00206109">
        <w:rPr>
          <w:rFonts w:asciiTheme="minorHAnsi" w:hAnsiTheme="minorHAnsi" w:cstheme="minorHAnsi"/>
          <w:b/>
          <w:bCs/>
        </w:rPr>
        <w:t xml:space="preserve"> ou dégradé</w:t>
      </w:r>
      <w:r w:rsidRPr="00206109">
        <w:rPr>
          <w:rFonts w:asciiTheme="minorHAnsi" w:hAnsiTheme="minorHAnsi" w:cstheme="minorHAnsi"/>
        </w:rPr>
        <w:t>, sans omission ;</w:t>
      </w:r>
    </w:p>
    <w:p w14:paraId="4D07805D" w14:textId="6B4DEE7A" w:rsidR="00E83D52" w:rsidRPr="00206109" w:rsidRDefault="00E83D52" w:rsidP="00E83D52">
      <w:pPr>
        <w:numPr>
          <w:ilvl w:val="0"/>
          <w:numId w:val="16"/>
        </w:numPr>
        <w:spacing w:after="120"/>
        <w:jc w:val="both"/>
        <w:rPr>
          <w:rFonts w:asciiTheme="minorHAnsi" w:hAnsiTheme="minorHAnsi" w:cstheme="minorHAnsi"/>
        </w:rPr>
      </w:pPr>
      <w:proofErr w:type="gramStart"/>
      <w:r w:rsidRPr="00206109">
        <w:rPr>
          <w:rFonts w:asciiTheme="minorHAnsi" w:hAnsiTheme="minorHAnsi" w:cstheme="minorHAnsi"/>
        </w:rPr>
        <w:t>les</w:t>
      </w:r>
      <w:proofErr w:type="gramEnd"/>
      <w:r w:rsidRPr="00206109">
        <w:rPr>
          <w:rFonts w:asciiTheme="minorHAnsi" w:hAnsiTheme="minorHAnsi" w:cstheme="minorHAnsi"/>
        </w:rPr>
        <w:t xml:space="preserve"> adaptations organisationnelles nécessaires pour compenser toute dégradation : gestion locale des opérateurs et des habilitations, gestion locale des CIQ et EEQ, diffusion manuelle des mises à jour, procédures dédiées, en cohérence avec l'ISO 15189:2022 annexe EBMD ;</w:t>
      </w:r>
    </w:p>
    <w:p w14:paraId="51A7EB22" w14:textId="175D84E9" w:rsidR="00E83D52" w:rsidRPr="00206109" w:rsidRDefault="00E83D52" w:rsidP="00E83D52">
      <w:pPr>
        <w:spacing w:after="120"/>
        <w:jc w:val="both"/>
        <w:rPr>
          <w:rFonts w:asciiTheme="minorHAnsi" w:hAnsiTheme="minorHAnsi" w:cstheme="minorHAnsi"/>
        </w:rPr>
      </w:pPr>
      <w:r w:rsidRPr="00206109">
        <w:rPr>
          <w:rFonts w:asciiTheme="minorHAnsi" w:hAnsiTheme="minorHAnsi" w:cstheme="minorHAnsi"/>
        </w:rPr>
        <w:t>La réponse à ce paragraphe sera évaluée au titre du critère technique. Toute omission ou réponse imprécise sera traitée comme une dégradation maximale.</w:t>
      </w:r>
    </w:p>
    <w:p w14:paraId="680F544A" w14:textId="794BFD86" w:rsidR="0086323F" w:rsidRPr="00965DAC" w:rsidRDefault="00964243">
      <w:pPr>
        <w:pStyle w:val="Titre1"/>
        <w:rPr>
          <w:rFonts w:asciiTheme="minorHAnsi" w:hAnsiTheme="minorHAnsi" w:cstheme="minorHAnsi"/>
        </w:rPr>
      </w:pPr>
      <w:bookmarkStart w:id="35" w:name="_Toc232759475"/>
      <w:r w:rsidRPr="00965DAC">
        <w:rPr>
          <w:rFonts w:asciiTheme="minorHAnsi" w:hAnsiTheme="minorHAnsi" w:cstheme="minorHAnsi"/>
        </w:rPr>
        <w:t>5. Informatique</w:t>
      </w:r>
      <w:bookmarkEnd w:id="35"/>
    </w:p>
    <w:p w14:paraId="2F21923F" w14:textId="6984FA2D"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 xml:space="preserve">Ce chapitre décrit les exigences appliquées aux équipements informatiques et logiciels fournis par le titulaire. Les exigences détaillées d’intégration au Système d’Information du CHU figurent dans </w:t>
      </w:r>
      <w:r w:rsidR="00A5006A">
        <w:rPr>
          <w:rFonts w:asciiTheme="minorHAnsi" w:hAnsiTheme="minorHAnsi" w:cstheme="minorHAnsi"/>
        </w:rPr>
        <w:t>« </w:t>
      </w:r>
      <w:r w:rsidR="0043508C">
        <w:rPr>
          <w:rFonts w:asciiTheme="minorHAnsi" w:hAnsiTheme="minorHAnsi" w:cstheme="minorHAnsi"/>
        </w:rPr>
        <w:t xml:space="preserve">3-CCTP </w:t>
      </w:r>
      <w:r w:rsidRPr="00965DAC">
        <w:rPr>
          <w:rFonts w:asciiTheme="minorHAnsi" w:hAnsiTheme="minorHAnsi" w:cstheme="minorHAnsi"/>
        </w:rPr>
        <w:t>Annexe</w:t>
      </w:r>
      <w:r w:rsidR="00A5006A">
        <w:rPr>
          <w:rFonts w:asciiTheme="minorHAnsi" w:hAnsiTheme="minorHAnsi" w:cstheme="minorHAnsi"/>
        </w:rPr>
        <w:t xml:space="preserve"> </w:t>
      </w:r>
      <w:r w:rsidR="0043508C">
        <w:rPr>
          <w:rFonts w:asciiTheme="minorHAnsi" w:hAnsiTheme="minorHAnsi" w:cstheme="minorHAnsi"/>
        </w:rPr>
        <w:t>2</w:t>
      </w:r>
      <w:r w:rsidR="00A5006A">
        <w:rPr>
          <w:rFonts w:asciiTheme="minorHAnsi" w:hAnsiTheme="minorHAnsi" w:cstheme="minorHAnsi"/>
        </w:rPr>
        <w:t xml:space="preserve">. </w:t>
      </w:r>
      <w:r w:rsidRPr="00965DAC">
        <w:rPr>
          <w:rFonts w:asciiTheme="minorHAnsi" w:hAnsiTheme="minorHAnsi" w:cstheme="minorHAnsi"/>
        </w:rPr>
        <w:t>Connexion informatique</w:t>
      </w:r>
      <w:r w:rsidR="006B68DE">
        <w:rPr>
          <w:rFonts w:asciiTheme="minorHAnsi" w:hAnsiTheme="minorHAnsi" w:cstheme="minorHAnsi"/>
        </w:rPr>
        <w:t> »</w:t>
      </w:r>
      <w:r w:rsidRPr="00965DAC">
        <w:rPr>
          <w:rFonts w:asciiTheme="minorHAnsi" w:hAnsiTheme="minorHAnsi" w:cstheme="minorHAnsi"/>
        </w:rPr>
        <w:t xml:space="preserve"> du présent CCTP et dans les annexes DS</w:t>
      </w:r>
      <w:r w:rsidR="00D57C1D" w:rsidRPr="00965DAC">
        <w:rPr>
          <w:rFonts w:asciiTheme="minorHAnsi" w:hAnsiTheme="minorHAnsi" w:cstheme="minorHAnsi"/>
        </w:rPr>
        <w:t>N</w:t>
      </w:r>
      <w:r w:rsidRPr="00965DAC">
        <w:rPr>
          <w:rFonts w:asciiTheme="minorHAnsi" w:hAnsiTheme="minorHAnsi" w:cstheme="minorHAnsi"/>
        </w:rPr>
        <w:t xml:space="preserve"> du dossier de consultation :</w:t>
      </w:r>
    </w:p>
    <w:p w14:paraId="35F43BED"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Infrastructure : composants déployés sur les serveurs virtualisés du CHU ;</w:t>
      </w:r>
    </w:p>
    <w:p w14:paraId="75ABC00C"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Intégration EAI : messages entre les composants de l’architecture ;</w:t>
      </w:r>
    </w:p>
    <w:p w14:paraId="58F37B1A"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Poste de travail : équipements et logiciels du titulaire déployés sur les postes CHU ;</w:t>
      </w:r>
    </w:p>
    <w:p w14:paraId="0FC68045"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Réseau : connexions réseaux internes et Extérieur ↔ CHU ;</w:t>
      </w:r>
    </w:p>
    <w:p w14:paraId="4D339927"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SaaS / PaaS / IaaS / On-</w:t>
      </w:r>
      <w:proofErr w:type="spellStart"/>
      <w:r w:rsidRPr="00965DAC">
        <w:rPr>
          <w:rFonts w:asciiTheme="minorHAnsi" w:hAnsiTheme="minorHAnsi" w:cstheme="minorHAnsi"/>
        </w:rPr>
        <w:t>premise</w:t>
      </w:r>
      <w:proofErr w:type="spellEnd"/>
      <w:r w:rsidRPr="00965DAC">
        <w:rPr>
          <w:rFonts w:asciiTheme="minorHAnsi" w:hAnsiTheme="minorHAnsi" w:cstheme="minorHAnsi"/>
        </w:rPr>
        <w:t xml:space="preserve"> : matrice RACI selon le type d’architecture ;</w:t>
      </w:r>
    </w:p>
    <w:p w14:paraId="14EC9BB1" w14:textId="7DE7EA85" w:rsidR="0086323F" w:rsidRPr="00965DAC" w:rsidRDefault="00206109">
      <w:pPr>
        <w:pStyle w:val="Paragraphedeliste"/>
        <w:numPr>
          <w:ilvl w:val="0"/>
          <w:numId w:val="2"/>
        </w:numPr>
        <w:spacing w:after="80"/>
        <w:jc w:val="both"/>
        <w:rPr>
          <w:rFonts w:asciiTheme="minorHAnsi" w:hAnsiTheme="minorHAnsi" w:cstheme="minorHAnsi"/>
        </w:rPr>
      </w:pPr>
      <w:proofErr w:type="spellStart"/>
      <w:r w:rsidRPr="00965DAC">
        <w:rPr>
          <w:rFonts w:asciiTheme="minorHAnsi" w:hAnsiTheme="minorHAnsi" w:cstheme="minorHAnsi"/>
        </w:rPr>
        <w:t>Clausier_SSI_CHUT</w:t>
      </w:r>
      <w:proofErr w:type="spellEnd"/>
      <w:r w:rsidRPr="00965DAC">
        <w:rPr>
          <w:rFonts w:asciiTheme="minorHAnsi" w:hAnsiTheme="minorHAnsi" w:cstheme="minorHAnsi"/>
        </w:rPr>
        <w:t>-GHT_HGTO</w:t>
      </w:r>
    </w:p>
    <w:p w14:paraId="541D9FDB"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Les chapitres suivants complètent ces exigences dans le cadre de la présente procédure.</w:t>
      </w:r>
    </w:p>
    <w:p w14:paraId="0F8A6423"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b/>
          <w:bCs/>
        </w:rPr>
        <w:t xml:space="preserve">NB. Au titre de l’offre. </w:t>
      </w:r>
      <w:r w:rsidRPr="00965DAC">
        <w:rPr>
          <w:rFonts w:asciiTheme="minorHAnsi" w:hAnsiTheme="minorHAnsi" w:cstheme="minorHAnsi"/>
        </w:rPr>
        <w:t>Le candidat devra fournir les documents suivants :</w:t>
      </w:r>
    </w:p>
    <w:p w14:paraId="4B304272" w14:textId="50D8DE72"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b/>
          <w:bCs/>
        </w:rPr>
        <w:t xml:space="preserve">1 – Description détaillée de l’intégration des équipements informatiques au SI du CHU </w:t>
      </w:r>
      <w:r w:rsidRPr="00965DAC">
        <w:rPr>
          <w:rFonts w:asciiTheme="minorHAnsi" w:hAnsiTheme="minorHAnsi" w:cstheme="minorHAnsi"/>
        </w:rPr>
        <w:t>(conforme aux exigences du chapitre, complétée d’un schéma synoptique au format Visio ou PDF</w:t>
      </w:r>
      <w:proofErr w:type="gramStart"/>
      <w:r w:rsidRPr="00965DAC">
        <w:rPr>
          <w:rFonts w:asciiTheme="minorHAnsi" w:hAnsiTheme="minorHAnsi" w:cstheme="minorHAnsi"/>
        </w:rPr>
        <w:t>);</w:t>
      </w:r>
      <w:proofErr w:type="gramEnd"/>
    </w:p>
    <w:p w14:paraId="1571DDF1"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b/>
          <w:bCs/>
        </w:rPr>
        <w:t xml:space="preserve">2 – Présentation fonctionnelle et technique de la connexion </w:t>
      </w:r>
      <w:r w:rsidRPr="00965DAC">
        <w:rPr>
          <w:rFonts w:asciiTheme="minorHAnsi" w:hAnsiTheme="minorHAnsi" w:cstheme="minorHAnsi"/>
        </w:rPr>
        <w:t>mettant en avant la couverture des exigences du présent CCTP et de son Annexe Connexion informatique ;</w:t>
      </w:r>
    </w:p>
    <w:p w14:paraId="46191C36" w14:textId="77777777" w:rsidR="00206109" w:rsidRPr="00965DAC" w:rsidRDefault="00206109">
      <w:pPr>
        <w:spacing w:after="120"/>
        <w:jc w:val="both"/>
        <w:rPr>
          <w:rFonts w:asciiTheme="minorHAnsi" w:hAnsiTheme="minorHAnsi" w:cstheme="minorHAnsi"/>
        </w:rPr>
      </w:pPr>
    </w:p>
    <w:p w14:paraId="7E286500" w14:textId="6CEC442F" w:rsidR="00D06911" w:rsidRDefault="00964243">
      <w:pPr>
        <w:spacing w:after="120"/>
        <w:jc w:val="both"/>
        <w:rPr>
          <w:rFonts w:asciiTheme="minorHAnsi" w:hAnsiTheme="minorHAnsi" w:cstheme="minorHAnsi"/>
        </w:rPr>
      </w:pPr>
      <w:r w:rsidRPr="00965DAC">
        <w:rPr>
          <w:rFonts w:asciiTheme="minorHAnsi" w:hAnsiTheme="minorHAnsi" w:cstheme="minorHAnsi"/>
        </w:rPr>
        <w:t xml:space="preserve">Dans le cadre de la mise en place de la solution, le titulaire fournira en outre les documents et </w:t>
      </w:r>
      <w:r w:rsidR="00965DAC" w:rsidRPr="00965DAC">
        <w:rPr>
          <w:rFonts w:asciiTheme="minorHAnsi" w:hAnsiTheme="minorHAnsi" w:cstheme="minorHAnsi"/>
        </w:rPr>
        <w:t xml:space="preserve">une </w:t>
      </w:r>
      <w:r w:rsidRPr="00965DAC">
        <w:rPr>
          <w:rFonts w:asciiTheme="minorHAnsi" w:hAnsiTheme="minorHAnsi" w:cstheme="minorHAnsi"/>
        </w:rPr>
        <w:t>Matrice</w:t>
      </w:r>
      <w:r w:rsidR="00965DAC" w:rsidRPr="00965DAC">
        <w:rPr>
          <w:rFonts w:asciiTheme="minorHAnsi" w:hAnsiTheme="minorHAnsi" w:cstheme="minorHAnsi"/>
        </w:rPr>
        <w:t xml:space="preserve"> de flux détaillée notamment des flux vers l’extérieur.</w:t>
      </w:r>
    </w:p>
    <w:p w14:paraId="170DC2B4" w14:textId="77777777" w:rsidR="003C4BBB" w:rsidRPr="00965DAC" w:rsidRDefault="003C4BBB">
      <w:pPr>
        <w:spacing w:after="120"/>
        <w:jc w:val="both"/>
        <w:rPr>
          <w:rFonts w:asciiTheme="minorHAnsi" w:hAnsiTheme="minorHAnsi" w:cstheme="minorHAnsi"/>
        </w:rPr>
      </w:pPr>
    </w:p>
    <w:p w14:paraId="1A314341" w14:textId="77777777" w:rsidR="0086323F" w:rsidRPr="003C4BBB" w:rsidRDefault="00964243" w:rsidP="00965DAC">
      <w:pPr>
        <w:pStyle w:val="Titre3"/>
        <w:rPr>
          <w:rFonts w:asciiTheme="minorHAnsi" w:hAnsiTheme="minorHAnsi" w:cstheme="minorHAnsi"/>
          <w:sz w:val="22"/>
          <w:szCs w:val="22"/>
        </w:rPr>
      </w:pPr>
      <w:bookmarkStart w:id="36" w:name="_Toc232759476"/>
      <w:r w:rsidRPr="003C4BBB">
        <w:rPr>
          <w:rFonts w:asciiTheme="minorHAnsi" w:hAnsiTheme="minorHAnsi" w:cstheme="minorHAnsi"/>
          <w:sz w:val="22"/>
          <w:szCs w:val="22"/>
        </w:rPr>
        <w:lastRenderedPageBreak/>
        <w:t>5.1. Sécurité informatique</w:t>
      </w:r>
      <w:bookmarkEnd w:id="36"/>
    </w:p>
    <w:p w14:paraId="6EEDDB0B" w14:textId="1BB9E181"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 titulaire devra se conformer aux exigences de sécurité informatique décrites dans le</w:t>
      </w:r>
      <w:r w:rsidR="00965DAC" w:rsidRPr="00965DAC">
        <w:rPr>
          <w:rFonts w:asciiTheme="minorHAnsi" w:hAnsiTheme="minorHAnsi" w:cstheme="minorHAnsi"/>
        </w:rPr>
        <w:t>s</w:t>
      </w:r>
      <w:r w:rsidRPr="00965DAC">
        <w:rPr>
          <w:rFonts w:asciiTheme="minorHAnsi" w:hAnsiTheme="minorHAnsi" w:cstheme="minorHAnsi"/>
        </w:rPr>
        <w:t xml:space="preserve"> document</w:t>
      </w:r>
      <w:r w:rsidR="00965DAC" w:rsidRPr="00965DAC">
        <w:rPr>
          <w:rFonts w:asciiTheme="minorHAnsi" w:hAnsiTheme="minorHAnsi" w:cstheme="minorHAnsi"/>
        </w:rPr>
        <w:t>s</w:t>
      </w:r>
      <w:r w:rsidRPr="00965DAC">
        <w:rPr>
          <w:rFonts w:asciiTheme="minorHAnsi" w:hAnsiTheme="minorHAnsi" w:cstheme="minorHAnsi"/>
        </w:rPr>
        <w:t xml:space="preserve"> Annexe</w:t>
      </w:r>
      <w:r w:rsidR="00965DAC" w:rsidRPr="00965DAC">
        <w:rPr>
          <w:rFonts w:asciiTheme="minorHAnsi" w:hAnsiTheme="minorHAnsi" w:cstheme="minorHAnsi"/>
        </w:rPr>
        <w:t>s.</w:t>
      </w:r>
    </w:p>
    <w:p w14:paraId="35F92B4F" w14:textId="3ADA48B5"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 candidat se positionnera sur le respect ou non de la norme</w:t>
      </w:r>
      <w:r w:rsidR="00B857D9">
        <w:rPr>
          <w:rFonts w:asciiTheme="minorHAnsi" w:hAnsiTheme="minorHAnsi" w:cstheme="minorHAnsi"/>
        </w:rPr>
        <w:t xml:space="preserve"> </w:t>
      </w:r>
      <w:r w:rsidR="00B857D9" w:rsidRPr="00B857D9">
        <w:rPr>
          <w:rFonts w:asciiTheme="minorHAnsi" w:hAnsiTheme="minorHAnsi" w:cstheme="minorHAnsi"/>
        </w:rPr>
        <w:t xml:space="preserve">ISO/IEC </w:t>
      </w:r>
      <w:proofErr w:type="gramStart"/>
      <w:r w:rsidR="00B857D9" w:rsidRPr="00B857D9">
        <w:rPr>
          <w:rFonts w:asciiTheme="minorHAnsi" w:hAnsiTheme="minorHAnsi" w:cstheme="minorHAnsi"/>
        </w:rPr>
        <w:t>27001:</w:t>
      </w:r>
      <w:proofErr w:type="gramEnd"/>
      <w:r w:rsidR="00B857D9" w:rsidRPr="00B857D9">
        <w:rPr>
          <w:rFonts w:asciiTheme="minorHAnsi" w:hAnsiTheme="minorHAnsi" w:cstheme="minorHAnsi"/>
        </w:rPr>
        <w:t>2022</w:t>
      </w:r>
      <w:r w:rsidRPr="00965DAC">
        <w:rPr>
          <w:rFonts w:asciiTheme="minorHAnsi" w:hAnsiTheme="minorHAnsi" w:cstheme="minorHAnsi"/>
        </w:rPr>
        <w:t>. Les exigences décrites dans les autres chapitres s’additionnent aux exigences de sécurité de cette annexe.</w:t>
      </w:r>
    </w:p>
    <w:p w14:paraId="32FF4859" w14:textId="6E3ED0FF"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 xml:space="preserve">Les composants de base de l’architecture du titulaire ne devront pas être en mode SaaS ; ce mode peut être utilisé uniquement sur des composants ne remettant pas en cause le fonctionnement principal de la solution (ex. : gestion des CQ externalisés, suivi statistique, IoT </w:t>
      </w:r>
      <w:proofErr w:type="spellStart"/>
      <w:r w:rsidRPr="00965DAC">
        <w:rPr>
          <w:rFonts w:asciiTheme="minorHAnsi" w:hAnsiTheme="minorHAnsi" w:cstheme="minorHAnsi"/>
        </w:rPr>
        <w:t>remote</w:t>
      </w:r>
      <w:proofErr w:type="spellEnd"/>
      <w:r w:rsidRPr="00965DAC">
        <w:rPr>
          <w:rFonts w:asciiTheme="minorHAnsi" w:hAnsiTheme="minorHAnsi" w:cstheme="minorHAnsi"/>
        </w:rPr>
        <w:t>-monitoring).</w:t>
      </w:r>
    </w:p>
    <w:p w14:paraId="06873F39" w14:textId="77777777" w:rsidR="0086323F" w:rsidRPr="003C4BBB" w:rsidRDefault="00964243" w:rsidP="00965DAC">
      <w:pPr>
        <w:pStyle w:val="Titre3"/>
        <w:rPr>
          <w:rFonts w:ascii="Calibri" w:hAnsi="Calibri" w:cs="Calibri"/>
          <w:sz w:val="22"/>
          <w:szCs w:val="22"/>
        </w:rPr>
      </w:pPr>
      <w:bookmarkStart w:id="37" w:name="_Toc232759477"/>
      <w:r w:rsidRPr="003C4BBB">
        <w:rPr>
          <w:rFonts w:ascii="Calibri" w:hAnsi="Calibri" w:cs="Calibri"/>
          <w:sz w:val="22"/>
          <w:szCs w:val="22"/>
        </w:rPr>
        <w:t>5.2. Équipements informatiques</w:t>
      </w:r>
      <w:bookmarkEnd w:id="37"/>
    </w:p>
    <w:p w14:paraId="0D912CBA" w14:textId="63242AE2"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 titulaire fournira pour chaque équipement raccordé par Ethernet au SI du CHU des équipements informatiques compatibles avec les exigences de sécurité :</w:t>
      </w:r>
    </w:p>
    <w:p w14:paraId="156D85D5" w14:textId="3F82C728"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b/>
          <w:bCs/>
        </w:rPr>
        <w:t xml:space="preserve">Systèmes d’exploitation Microsoft : </w:t>
      </w:r>
      <w:r w:rsidRPr="00965DAC">
        <w:rPr>
          <w:rFonts w:asciiTheme="minorHAnsi" w:hAnsiTheme="minorHAnsi" w:cstheme="minorHAnsi"/>
        </w:rPr>
        <w:t xml:space="preserve">seule la version Windows 10 </w:t>
      </w:r>
      <w:r w:rsidR="00B07DC5" w:rsidRPr="00965DAC">
        <w:rPr>
          <w:rFonts w:asciiTheme="minorHAnsi" w:hAnsiTheme="minorHAnsi" w:cstheme="minorHAnsi"/>
        </w:rPr>
        <w:t>IOT LTSC</w:t>
      </w:r>
      <w:r w:rsidRPr="00965DAC">
        <w:rPr>
          <w:rFonts w:asciiTheme="minorHAnsi" w:hAnsiTheme="minorHAnsi" w:cstheme="minorHAnsi"/>
        </w:rPr>
        <w:t xml:space="preserve"> ou supérieure validée par le CHU est acceptée ; la suite logicielle devra être compatible avec l’antivirus </w:t>
      </w:r>
      <w:r w:rsidR="00B07DC5" w:rsidRPr="00965DAC">
        <w:rPr>
          <w:rFonts w:asciiTheme="minorHAnsi" w:hAnsiTheme="minorHAnsi" w:cstheme="minorHAnsi"/>
        </w:rPr>
        <w:t>XDR PALO ALTO CORTEX</w:t>
      </w:r>
    </w:p>
    <w:p w14:paraId="25B400F1"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b/>
          <w:bCs/>
        </w:rPr>
        <w:t xml:space="preserve">Systèmes Unix : </w:t>
      </w:r>
      <w:r w:rsidRPr="00965DAC">
        <w:rPr>
          <w:rFonts w:asciiTheme="minorHAnsi" w:hAnsiTheme="minorHAnsi" w:cstheme="minorHAnsi"/>
        </w:rPr>
        <w:t>autorisés à s’interfacer avec le SI ;</w:t>
      </w:r>
    </w:p>
    <w:p w14:paraId="0594D8BF"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b/>
          <w:bCs/>
        </w:rPr>
        <w:t xml:space="preserve">Systèmes IoT : </w:t>
      </w:r>
      <w:r w:rsidRPr="00965DAC">
        <w:rPr>
          <w:rFonts w:asciiTheme="minorHAnsi" w:hAnsiTheme="minorHAnsi" w:cstheme="minorHAnsi"/>
        </w:rPr>
        <w:t>le candidat précisera les modalités d’intégration à une MDM ;</w:t>
      </w:r>
    </w:p>
    <w:p w14:paraId="3A4BDDE5"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b/>
          <w:bCs/>
        </w:rPr>
        <w:t xml:space="preserve">OS non compatibles : </w:t>
      </w:r>
      <w:r w:rsidRPr="00965DAC">
        <w:rPr>
          <w:rFonts w:asciiTheme="minorHAnsi" w:hAnsiTheme="minorHAnsi" w:cstheme="minorHAnsi"/>
        </w:rPr>
        <w:t>le titulaire demandera une dérogation ; les éléments nécessaires à la solution dérogatoire seront à la charge du titulaire.</w:t>
      </w:r>
    </w:p>
    <w:p w14:paraId="0B8C711D"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L’ensemble des composants informatiques (unités centrales et assimilées) sera couvert par la formule de maintenance choisie. Les évolutions d’OS en cours de marché sont entendues comme incluses dans l’offre.</w:t>
      </w:r>
    </w:p>
    <w:p w14:paraId="25DC0DA0" w14:textId="77777777" w:rsidR="0086323F" w:rsidRPr="003C4BBB" w:rsidRDefault="00964243" w:rsidP="00965DAC">
      <w:pPr>
        <w:pStyle w:val="Titre3"/>
        <w:rPr>
          <w:rFonts w:ascii="Calibri" w:hAnsi="Calibri" w:cs="Calibri"/>
          <w:sz w:val="22"/>
          <w:szCs w:val="22"/>
        </w:rPr>
      </w:pPr>
      <w:bookmarkStart w:id="38" w:name="_Toc232759478"/>
      <w:r w:rsidRPr="003C4BBB">
        <w:rPr>
          <w:rFonts w:ascii="Calibri" w:hAnsi="Calibri" w:cs="Calibri"/>
          <w:sz w:val="22"/>
          <w:szCs w:val="22"/>
        </w:rPr>
        <w:t>5.3. Serveurs virtuels</w:t>
      </w:r>
      <w:bookmarkEnd w:id="38"/>
    </w:p>
    <w:p w14:paraId="06036D6C" w14:textId="171F129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 xml:space="preserve">Pour les machines virtuelles hébergées au Data Center du CHU, le titulaire détaillera obligatoirement les prérequis à prendre en compte. </w:t>
      </w:r>
    </w:p>
    <w:p w14:paraId="4C8987D9"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Les bases de données seront gérées dans des VM différenciées des services applicatifs :</w:t>
      </w:r>
    </w:p>
    <w:p w14:paraId="532D71D6"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bases</w:t>
      </w:r>
      <w:proofErr w:type="gramEnd"/>
      <w:r w:rsidRPr="00965DAC">
        <w:rPr>
          <w:rFonts w:asciiTheme="minorHAnsi" w:hAnsiTheme="minorHAnsi" w:cstheme="minorHAnsi"/>
        </w:rPr>
        <w:t xml:space="preserve"> SQL Server hébergées sous Windows ;</w:t>
      </w:r>
    </w:p>
    <w:p w14:paraId="11750F10"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autres</w:t>
      </w:r>
      <w:proofErr w:type="gramEnd"/>
      <w:r w:rsidRPr="00965DAC">
        <w:rPr>
          <w:rFonts w:asciiTheme="minorHAnsi" w:hAnsiTheme="minorHAnsi" w:cstheme="minorHAnsi"/>
        </w:rPr>
        <w:t xml:space="preserve"> bases hébergées sous Linux.</w:t>
      </w:r>
    </w:p>
    <w:p w14:paraId="52CF9701"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Un plan de reprise d’activité (PRA) ainsi qu’une solution de protection des données et du paramétrage devront être décrits.</w:t>
      </w:r>
    </w:p>
    <w:p w14:paraId="00E0D211" w14:textId="77777777" w:rsidR="0086323F" w:rsidRPr="003C4BBB" w:rsidRDefault="00964243" w:rsidP="00965DAC">
      <w:pPr>
        <w:pStyle w:val="Titre3"/>
        <w:rPr>
          <w:rFonts w:asciiTheme="minorHAnsi" w:hAnsiTheme="minorHAnsi" w:cstheme="minorHAnsi"/>
          <w:sz w:val="22"/>
          <w:szCs w:val="22"/>
        </w:rPr>
      </w:pPr>
      <w:bookmarkStart w:id="39" w:name="_Toc232759479"/>
      <w:r w:rsidRPr="003C4BBB">
        <w:rPr>
          <w:rFonts w:asciiTheme="minorHAnsi" w:hAnsiTheme="minorHAnsi" w:cstheme="minorHAnsi"/>
          <w:sz w:val="22"/>
          <w:szCs w:val="22"/>
        </w:rPr>
        <w:t>5.4. Sauvegarde des données</w:t>
      </w:r>
      <w:bookmarkEnd w:id="39"/>
    </w:p>
    <w:p w14:paraId="4BE77B57"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Une solution de protection des données et du paramétrage devra être décrite ;</w:t>
      </w:r>
    </w:p>
    <w:p w14:paraId="0A73960C"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Pour les équipements physiques, le titulaire proposera une solution de sauvegarde des données brutes de préférence automatisée ; il en évaluera la volumétrie, le CHU mettra à disposition un espace de stockage sécurisé ;</w:t>
      </w:r>
    </w:p>
    <w:p w14:paraId="0F4FF658"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équipements informatiques fournis seront obligatoirement configurés en RAID 1 ;</w:t>
      </w:r>
    </w:p>
    <w:p w14:paraId="09AA595A"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 titulaire proposera une solution d’accès et de lecture des données et images pérenne dans le temps et accessible à l’issue du contrat ; une solution non propriétaire est attendue ;</w:t>
      </w:r>
    </w:p>
    <w:p w14:paraId="67327AD4"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supports d’écriture éventuels seront fournis neufs ; il est explicitement interdit d’introduire des supports déjà utilisés sur des postes en relation avec le SI du CHU ;</w:t>
      </w:r>
    </w:p>
    <w:p w14:paraId="1D696EF4" w14:textId="7D8E05DA" w:rsidR="00965DAC" w:rsidRDefault="00964243" w:rsidP="00965DAC">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Aucun support physique n’est admis sur l’architecture virtualisée</w:t>
      </w:r>
      <w:r w:rsidR="00B857D9">
        <w:rPr>
          <w:rFonts w:asciiTheme="minorHAnsi" w:hAnsiTheme="minorHAnsi" w:cstheme="minorHAnsi"/>
        </w:rPr>
        <w:t> ;</w:t>
      </w:r>
    </w:p>
    <w:p w14:paraId="0665EAC7" w14:textId="22473BE2" w:rsidR="003F651B" w:rsidRPr="00965DAC" w:rsidRDefault="003F651B" w:rsidP="003F651B">
      <w:pPr>
        <w:pStyle w:val="Paragraphedeliste"/>
        <w:numPr>
          <w:ilvl w:val="0"/>
          <w:numId w:val="2"/>
        </w:numPr>
        <w:spacing w:after="80"/>
        <w:jc w:val="both"/>
        <w:rPr>
          <w:rFonts w:asciiTheme="minorHAnsi" w:hAnsiTheme="minorHAnsi" w:cstheme="minorHAnsi"/>
        </w:rPr>
      </w:pPr>
      <w:r w:rsidRPr="00965DAC">
        <w:rPr>
          <w:rStyle w:val="lev"/>
          <w:rFonts w:asciiTheme="minorHAnsi" w:hAnsiTheme="minorHAnsi" w:cstheme="minorHAnsi"/>
          <w:b w:val="0"/>
          <w:bCs w:val="0"/>
        </w:rPr>
        <w:t>Sauvegarde des paramétrages analyseurs</w:t>
      </w:r>
      <w:r w:rsidRPr="00965DAC">
        <w:rPr>
          <w:rFonts w:asciiTheme="minorHAnsi" w:hAnsiTheme="minorHAnsi" w:cstheme="minorHAnsi"/>
          <w:b/>
          <w:bCs/>
        </w:rPr>
        <w:t xml:space="preserve"> :</w:t>
      </w:r>
      <w:r w:rsidRPr="00965DAC">
        <w:rPr>
          <w:rFonts w:asciiTheme="minorHAnsi" w:hAnsiTheme="minorHAnsi" w:cstheme="minorHAnsi"/>
        </w:rPr>
        <w:t xml:space="preserve"> le titulaire décrira la procédure de sauvegarde des paramétrages de l'ensemble des gazomètres, qu'elle soit assurée via le middleware ou organisée </w:t>
      </w:r>
      <w:r w:rsidRPr="00965DAC">
        <w:rPr>
          <w:rFonts w:asciiTheme="minorHAnsi" w:hAnsiTheme="minorHAnsi" w:cstheme="minorHAnsi"/>
        </w:rPr>
        <w:lastRenderedPageBreak/>
        <w:t>sous forme de sauvegarde physique déportée ; dans les deux cas, une procédure de vérification de l'intégrité des données sauvegardées sera décrite et mise en œuvre.</w:t>
      </w:r>
    </w:p>
    <w:p w14:paraId="7AF0B848" w14:textId="0C52E1B3" w:rsidR="003F651B" w:rsidRPr="00965DAC" w:rsidRDefault="00965DAC" w:rsidP="00965DAC">
      <w:pPr>
        <w:pStyle w:val="Titre3"/>
        <w:jc w:val="both"/>
        <w:rPr>
          <w:rFonts w:asciiTheme="minorHAnsi" w:hAnsiTheme="minorHAnsi" w:cstheme="minorHAnsi"/>
          <w:sz w:val="22"/>
          <w:szCs w:val="22"/>
        </w:rPr>
      </w:pPr>
      <w:bookmarkStart w:id="40" w:name="_Toc232759480"/>
      <w:r w:rsidRPr="00965DAC">
        <w:rPr>
          <w:rFonts w:asciiTheme="minorHAnsi" w:hAnsiTheme="minorHAnsi" w:cstheme="minorHAnsi"/>
          <w:sz w:val="22"/>
          <w:szCs w:val="22"/>
        </w:rPr>
        <w:t xml:space="preserve">5.5. </w:t>
      </w:r>
      <w:r w:rsidR="003F651B" w:rsidRPr="00965DAC">
        <w:rPr>
          <w:rFonts w:asciiTheme="minorHAnsi" w:hAnsiTheme="minorHAnsi" w:cstheme="minorHAnsi"/>
          <w:sz w:val="22"/>
          <w:szCs w:val="22"/>
        </w:rPr>
        <w:t>Mode dégradé – scénario de cyberattaque</w:t>
      </w:r>
      <w:bookmarkEnd w:id="40"/>
    </w:p>
    <w:p w14:paraId="7FDA9099" w14:textId="77777777" w:rsidR="003F651B" w:rsidRPr="00965DAC" w:rsidRDefault="003F651B" w:rsidP="00965DAC">
      <w:pPr>
        <w:pStyle w:val="font-claude-response-body"/>
        <w:jc w:val="both"/>
        <w:rPr>
          <w:rFonts w:asciiTheme="minorHAnsi" w:hAnsiTheme="minorHAnsi" w:cstheme="minorHAnsi"/>
          <w:sz w:val="22"/>
          <w:szCs w:val="22"/>
        </w:rPr>
      </w:pPr>
      <w:r w:rsidRPr="00965DAC">
        <w:rPr>
          <w:rFonts w:asciiTheme="minorHAnsi" w:hAnsiTheme="minorHAnsi" w:cstheme="minorHAnsi"/>
          <w:sz w:val="22"/>
          <w:szCs w:val="22"/>
        </w:rPr>
        <w:t xml:space="preserve">Le titulaire décrira obligatoirement un scénario de fonctionnement en mode dégradé correspondant à une mise hors ligne complète du système d'information du CHU d'une durée minimale de </w:t>
      </w:r>
      <w:r w:rsidRPr="00965DAC">
        <w:rPr>
          <w:rStyle w:val="lev"/>
          <w:rFonts w:asciiTheme="minorHAnsi" w:hAnsiTheme="minorHAnsi" w:cstheme="minorHAnsi"/>
          <w:sz w:val="22"/>
          <w:szCs w:val="22"/>
        </w:rPr>
        <w:t>72 heures</w:t>
      </w:r>
      <w:r w:rsidRPr="00965DAC">
        <w:rPr>
          <w:rFonts w:asciiTheme="minorHAnsi" w:hAnsiTheme="minorHAnsi" w:cstheme="minorHAnsi"/>
          <w:sz w:val="22"/>
          <w:szCs w:val="22"/>
        </w:rPr>
        <w:t>, conformément au plan de crise cybersécurité de l'établissement.</w:t>
      </w:r>
    </w:p>
    <w:p w14:paraId="7EEA33E4" w14:textId="77777777" w:rsidR="003F651B" w:rsidRPr="00965DAC" w:rsidRDefault="003F651B" w:rsidP="00965DAC">
      <w:pPr>
        <w:pStyle w:val="font-claude-response-body"/>
        <w:jc w:val="both"/>
        <w:rPr>
          <w:rFonts w:asciiTheme="minorHAnsi" w:hAnsiTheme="minorHAnsi" w:cstheme="minorHAnsi"/>
          <w:sz w:val="22"/>
          <w:szCs w:val="22"/>
        </w:rPr>
      </w:pPr>
      <w:r w:rsidRPr="00965DAC">
        <w:rPr>
          <w:rFonts w:asciiTheme="minorHAnsi" w:hAnsiTheme="minorHAnsi" w:cstheme="minorHAnsi"/>
          <w:sz w:val="22"/>
          <w:szCs w:val="22"/>
        </w:rPr>
        <w:t>Ce scénario devra couvrir les capacités suivantes :</w:t>
      </w:r>
    </w:p>
    <w:p w14:paraId="79D5AAD6" w14:textId="77777777" w:rsidR="003F651B" w:rsidRPr="00965DAC" w:rsidRDefault="003F651B" w:rsidP="00965DAC">
      <w:pPr>
        <w:pStyle w:val="font-claude-response-body"/>
        <w:numPr>
          <w:ilvl w:val="0"/>
          <w:numId w:val="28"/>
        </w:numPr>
        <w:jc w:val="both"/>
        <w:rPr>
          <w:rFonts w:asciiTheme="minorHAnsi" w:hAnsiTheme="minorHAnsi" w:cstheme="minorHAnsi"/>
          <w:sz w:val="22"/>
          <w:szCs w:val="22"/>
        </w:rPr>
      </w:pPr>
      <w:r w:rsidRPr="00965DAC">
        <w:rPr>
          <w:rStyle w:val="lev"/>
          <w:rFonts w:asciiTheme="minorHAnsi" w:hAnsiTheme="minorHAnsi" w:cstheme="minorHAnsi"/>
          <w:sz w:val="22"/>
          <w:szCs w:val="22"/>
        </w:rPr>
        <w:t>Mémorisation locale des résultats</w:t>
      </w:r>
      <w:r w:rsidRPr="00965DAC">
        <w:rPr>
          <w:rFonts w:asciiTheme="minorHAnsi" w:hAnsiTheme="minorHAnsi" w:cstheme="minorHAnsi"/>
          <w:sz w:val="22"/>
          <w:szCs w:val="22"/>
        </w:rPr>
        <w:t xml:space="preserve"> : chaque analyseur devra être en mesure de stocker localement l'intégralité des résultats patients produits pendant la période de déconnexion, sans perte de données ni interruption de l'activité analytique ;</w:t>
      </w:r>
    </w:p>
    <w:p w14:paraId="1507BB12" w14:textId="1E18E228" w:rsidR="003F651B" w:rsidRPr="00965DAC" w:rsidRDefault="003F651B" w:rsidP="00965DAC">
      <w:pPr>
        <w:pStyle w:val="font-claude-response-body"/>
        <w:numPr>
          <w:ilvl w:val="0"/>
          <w:numId w:val="28"/>
        </w:numPr>
        <w:jc w:val="both"/>
        <w:rPr>
          <w:rFonts w:asciiTheme="minorHAnsi" w:hAnsiTheme="minorHAnsi" w:cstheme="minorHAnsi"/>
          <w:sz w:val="22"/>
          <w:szCs w:val="22"/>
        </w:rPr>
      </w:pPr>
      <w:r w:rsidRPr="00965DAC">
        <w:rPr>
          <w:rStyle w:val="lev"/>
          <w:rFonts w:asciiTheme="minorHAnsi" w:hAnsiTheme="minorHAnsi" w:cstheme="minorHAnsi"/>
          <w:sz w:val="22"/>
          <w:szCs w:val="22"/>
        </w:rPr>
        <w:t>Renvoi différé vers une interface saine</w:t>
      </w:r>
      <w:r w:rsidRPr="00965DAC">
        <w:rPr>
          <w:rFonts w:asciiTheme="minorHAnsi" w:hAnsiTheme="minorHAnsi" w:cstheme="minorHAnsi"/>
          <w:sz w:val="22"/>
          <w:szCs w:val="22"/>
        </w:rPr>
        <w:t xml:space="preserve"> : à la reconnexion du système d'information, le titulaire décrira la procédure de rapatriement automatisé ou assisté de l'ensemble des résultats mémorisés vers le middleware, avec garantie d'intégrité et de traçabilité des données ;</w:t>
      </w:r>
    </w:p>
    <w:p w14:paraId="64A06798" w14:textId="32B7F089" w:rsidR="003F651B" w:rsidRPr="00965DAC" w:rsidRDefault="003F651B" w:rsidP="00965DAC">
      <w:pPr>
        <w:pStyle w:val="font-claude-response-body"/>
        <w:numPr>
          <w:ilvl w:val="0"/>
          <w:numId w:val="28"/>
        </w:numPr>
        <w:jc w:val="both"/>
        <w:rPr>
          <w:rFonts w:asciiTheme="minorHAnsi" w:hAnsiTheme="minorHAnsi" w:cstheme="minorHAnsi"/>
          <w:sz w:val="22"/>
          <w:szCs w:val="22"/>
        </w:rPr>
      </w:pPr>
      <w:r w:rsidRPr="00965DAC">
        <w:rPr>
          <w:rStyle w:val="lev"/>
          <w:rFonts w:asciiTheme="minorHAnsi" w:hAnsiTheme="minorHAnsi" w:cstheme="minorHAnsi"/>
          <w:sz w:val="22"/>
          <w:szCs w:val="22"/>
        </w:rPr>
        <w:t>Kit cybersécurité</w:t>
      </w:r>
      <w:r w:rsidRPr="00965DAC">
        <w:rPr>
          <w:rFonts w:asciiTheme="minorHAnsi" w:hAnsiTheme="minorHAnsi" w:cstheme="minorHAnsi"/>
          <w:sz w:val="22"/>
          <w:szCs w:val="22"/>
        </w:rPr>
        <w:t xml:space="preserve"> : le titulaire fournira un kit cybersécurité documenté, incluant </w:t>
      </w:r>
      <w:r w:rsidR="009665B9" w:rsidRPr="00965DAC">
        <w:rPr>
          <w:rFonts w:asciiTheme="minorHAnsi" w:hAnsiTheme="minorHAnsi" w:cstheme="minorHAnsi"/>
          <w:sz w:val="22"/>
          <w:szCs w:val="22"/>
        </w:rPr>
        <w:t xml:space="preserve">si nécessaire </w:t>
      </w:r>
      <w:r w:rsidRPr="00965DAC">
        <w:rPr>
          <w:rFonts w:asciiTheme="minorHAnsi" w:hAnsiTheme="minorHAnsi" w:cstheme="minorHAnsi"/>
          <w:sz w:val="22"/>
          <w:szCs w:val="22"/>
        </w:rPr>
        <w:t>les supports de stockage amovibles (clés USB</w:t>
      </w:r>
      <w:r w:rsidR="009665B9" w:rsidRPr="00965DAC">
        <w:rPr>
          <w:rFonts w:asciiTheme="minorHAnsi" w:hAnsiTheme="minorHAnsi" w:cstheme="minorHAnsi"/>
          <w:sz w:val="22"/>
          <w:szCs w:val="22"/>
        </w:rPr>
        <w:t>) qui seront dans ce cas</w:t>
      </w:r>
      <w:r w:rsidR="00965DAC">
        <w:rPr>
          <w:rFonts w:asciiTheme="minorHAnsi" w:hAnsiTheme="minorHAnsi" w:cstheme="minorHAnsi"/>
          <w:sz w:val="22"/>
          <w:szCs w:val="22"/>
        </w:rPr>
        <w:t xml:space="preserve"> </w:t>
      </w:r>
      <w:r w:rsidRPr="00965DAC">
        <w:rPr>
          <w:rFonts w:asciiTheme="minorHAnsi" w:hAnsiTheme="minorHAnsi" w:cstheme="minorHAnsi"/>
          <w:sz w:val="22"/>
          <w:szCs w:val="22"/>
        </w:rPr>
        <w:t>dédiés, neufs, chiffrés</w:t>
      </w:r>
      <w:r w:rsidR="00965DAC">
        <w:rPr>
          <w:rFonts w:asciiTheme="minorHAnsi" w:hAnsiTheme="minorHAnsi" w:cstheme="minorHAnsi"/>
          <w:sz w:val="22"/>
          <w:szCs w:val="22"/>
        </w:rPr>
        <w:t xml:space="preserve"> </w:t>
      </w:r>
      <w:r w:rsidRPr="00965DAC">
        <w:rPr>
          <w:rFonts w:asciiTheme="minorHAnsi" w:hAnsiTheme="minorHAnsi" w:cstheme="minorHAnsi"/>
          <w:sz w:val="22"/>
          <w:szCs w:val="22"/>
        </w:rPr>
        <w:t>nécessaires à la sauvegarde et à la récupération des données patients hors connexion réseau. Les modalités de sauvegarde, de restauration et de reprise seront décrites dans ce kit, qui sera remis au CHU à la mise en production et maintenu à jour pendant toute la durée du marché.</w:t>
      </w:r>
    </w:p>
    <w:p w14:paraId="2DFC034C" w14:textId="4C4772CA" w:rsidR="003F651B" w:rsidRPr="00965DAC" w:rsidRDefault="003F651B" w:rsidP="00965DAC">
      <w:pPr>
        <w:pStyle w:val="font-claude-response-body"/>
        <w:jc w:val="both"/>
        <w:rPr>
          <w:rFonts w:asciiTheme="minorHAnsi" w:hAnsiTheme="minorHAnsi" w:cstheme="minorHAnsi"/>
          <w:sz w:val="22"/>
          <w:szCs w:val="22"/>
        </w:rPr>
      </w:pPr>
      <w:r w:rsidRPr="00965DAC">
        <w:rPr>
          <w:rFonts w:asciiTheme="minorHAnsi" w:hAnsiTheme="minorHAnsi" w:cstheme="minorHAnsi"/>
          <w:sz w:val="22"/>
          <w:szCs w:val="22"/>
        </w:rPr>
        <w:t>Le titulaire précisera dans son mémoire technique la capacité maximale de mémorisation locale par analyseur (nombre de résultats, durée), ainsi que le temps de resynchronisation estimé après reconnexion.</w:t>
      </w:r>
    </w:p>
    <w:p w14:paraId="6EAF8382" w14:textId="2E4BCC83" w:rsidR="0086323F" w:rsidRPr="00965DAC" w:rsidRDefault="00964243" w:rsidP="00965DAC">
      <w:pPr>
        <w:pStyle w:val="Titre3"/>
        <w:jc w:val="both"/>
        <w:rPr>
          <w:rFonts w:asciiTheme="minorHAnsi" w:hAnsiTheme="minorHAnsi" w:cstheme="minorHAnsi"/>
          <w:sz w:val="22"/>
          <w:szCs w:val="22"/>
        </w:rPr>
      </w:pPr>
      <w:bookmarkStart w:id="41" w:name="_Toc232759481"/>
      <w:r w:rsidRPr="00965DAC">
        <w:rPr>
          <w:rFonts w:asciiTheme="minorHAnsi" w:hAnsiTheme="minorHAnsi" w:cstheme="minorHAnsi"/>
          <w:sz w:val="22"/>
          <w:szCs w:val="22"/>
        </w:rPr>
        <w:t>5.</w:t>
      </w:r>
      <w:r w:rsidR="00965DAC" w:rsidRPr="00965DAC">
        <w:rPr>
          <w:rFonts w:asciiTheme="minorHAnsi" w:hAnsiTheme="minorHAnsi" w:cstheme="minorHAnsi"/>
          <w:sz w:val="22"/>
          <w:szCs w:val="22"/>
        </w:rPr>
        <w:t>6</w:t>
      </w:r>
      <w:r w:rsidRPr="00965DAC">
        <w:rPr>
          <w:rFonts w:asciiTheme="minorHAnsi" w:hAnsiTheme="minorHAnsi" w:cstheme="minorHAnsi"/>
          <w:sz w:val="22"/>
          <w:szCs w:val="22"/>
        </w:rPr>
        <w:t>. Connexions des éléments de la solution</w:t>
      </w:r>
      <w:bookmarkEnd w:id="41"/>
    </w:p>
    <w:p w14:paraId="5E54F97A" w14:textId="77777777" w:rsidR="0086323F" w:rsidRPr="00965DAC" w:rsidRDefault="00964243" w:rsidP="00965DAC">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éléments sont raccordés via le réseau privé du CHU ;</w:t>
      </w:r>
    </w:p>
    <w:p w14:paraId="7CF3A2D8"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La connexion Wi-Fi au SI du CHU est fortement déconseillée et fera l’objet d’une étude préalable de faisabilité ;</w:t>
      </w:r>
    </w:p>
    <w:p w14:paraId="29BB3D65" w14:textId="61522AB9"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 xml:space="preserve">Les équipements </w:t>
      </w:r>
      <w:r w:rsidR="009665B9" w:rsidRPr="00965DAC">
        <w:rPr>
          <w:rFonts w:asciiTheme="minorHAnsi" w:hAnsiTheme="minorHAnsi" w:cstheme="minorHAnsi"/>
        </w:rPr>
        <w:t>devront utiliser</w:t>
      </w:r>
      <w:r w:rsidRPr="00965DAC">
        <w:rPr>
          <w:rFonts w:asciiTheme="minorHAnsi" w:hAnsiTheme="minorHAnsi" w:cstheme="minorHAnsi"/>
        </w:rPr>
        <w:t xml:space="preserve"> la solution de télémaintenance Wallix Bastion du CHU </w:t>
      </w:r>
      <w:r w:rsidR="009665B9" w:rsidRPr="00965DAC">
        <w:rPr>
          <w:rFonts w:asciiTheme="minorHAnsi" w:hAnsiTheme="minorHAnsi" w:cstheme="minorHAnsi"/>
        </w:rPr>
        <w:t>à l’exclusion de toute autre solution.</w:t>
      </w:r>
    </w:p>
    <w:p w14:paraId="1A58D6C7"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La connexion des équipements au middleware (MW) ou au SIL sera réalisée conformément aux exigences du présent CCTP et de son Annexe Connexion informatique ; l’ensemble des coûts associés est réputé inclus dans l’offre du titulaire ;</w:t>
      </w:r>
    </w:p>
    <w:p w14:paraId="5D344783"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coûts associés à la maintenance des connexions SIL sont pris en charge par le CHU au titre de son contrat CGM ;</w:t>
      </w:r>
    </w:p>
    <w:p w14:paraId="39A867C6"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flux d’échange de messages normalisés (HL7, ASTM, POCT1-A2) se feront de préférence sur format socket (MLLP) et des fonctions de supervision et de relance seront proposées dans chacun des logiciels concernés ;</w:t>
      </w:r>
    </w:p>
    <w:p w14:paraId="0CA1E216"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 passage par le système EAI du CHU pourra être envisagé si les conditions de prise en charge du protocole et les performances de transfert sont remplies ;</w:t>
      </w:r>
    </w:p>
    <w:p w14:paraId="396B2096"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échanges par fichiers CIFS (Windows) sont fortement déconseillés ;</w:t>
      </w:r>
    </w:p>
    <w:p w14:paraId="5DCDF5FA" w14:textId="77777777" w:rsidR="0086323F" w:rsidRPr="00965DAC"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Les échanges seront de préférence chiffrés (TLS 1.2 minimum) ;</w:t>
      </w:r>
    </w:p>
    <w:p w14:paraId="41626FB5" w14:textId="77777777" w:rsidR="0086323F" w:rsidRDefault="00964243">
      <w:pPr>
        <w:pStyle w:val="Paragraphedeliste"/>
        <w:numPr>
          <w:ilvl w:val="0"/>
          <w:numId w:val="2"/>
        </w:numPr>
        <w:spacing w:after="80"/>
        <w:jc w:val="both"/>
        <w:rPr>
          <w:rFonts w:asciiTheme="minorHAnsi" w:hAnsiTheme="minorHAnsi" w:cstheme="minorHAnsi"/>
        </w:rPr>
      </w:pPr>
      <w:r w:rsidRPr="00965DAC">
        <w:rPr>
          <w:rFonts w:asciiTheme="minorHAnsi" w:hAnsiTheme="minorHAnsi" w:cstheme="minorHAnsi"/>
        </w:rPr>
        <w:t xml:space="preserve">Les connexions sont obligatoirement bidirectionnelles entre middleware et SIL </w:t>
      </w:r>
      <w:proofErr w:type="spellStart"/>
      <w:r w:rsidRPr="00965DAC">
        <w:rPr>
          <w:rFonts w:asciiTheme="minorHAnsi" w:hAnsiTheme="minorHAnsi" w:cstheme="minorHAnsi"/>
        </w:rPr>
        <w:t>Molis</w:t>
      </w:r>
      <w:proofErr w:type="spellEnd"/>
      <w:r w:rsidRPr="00965DAC">
        <w:rPr>
          <w:rFonts w:asciiTheme="minorHAnsi" w:hAnsiTheme="minorHAnsi" w:cstheme="minorHAnsi"/>
        </w:rPr>
        <w:t>.</w:t>
      </w:r>
    </w:p>
    <w:p w14:paraId="5D3DB7C6" w14:textId="77777777" w:rsidR="003C4BBB" w:rsidRPr="00965DAC" w:rsidRDefault="003C4BBB" w:rsidP="003C4BBB">
      <w:pPr>
        <w:pStyle w:val="Paragraphedeliste"/>
        <w:spacing w:after="80"/>
        <w:ind w:left="720"/>
        <w:jc w:val="both"/>
        <w:rPr>
          <w:rFonts w:asciiTheme="minorHAnsi" w:hAnsiTheme="minorHAnsi" w:cstheme="minorHAnsi"/>
        </w:rPr>
      </w:pPr>
    </w:p>
    <w:p w14:paraId="78643E34" w14:textId="4C145F94" w:rsidR="0086323F" w:rsidRPr="00965DAC" w:rsidRDefault="00964243" w:rsidP="00965DAC">
      <w:pPr>
        <w:pStyle w:val="Titre3"/>
        <w:jc w:val="both"/>
        <w:rPr>
          <w:rFonts w:asciiTheme="minorHAnsi" w:hAnsiTheme="minorHAnsi" w:cstheme="minorHAnsi"/>
          <w:sz w:val="22"/>
          <w:szCs w:val="22"/>
        </w:rPr>
      </w:pPr>
      <w:bookmarkStart w:id="42" w:name="_Toc232759482"/>
      <w:r w:rsidRPr="00965DAC">
        <w:rPr>
          <w:rFonts w:asciiTheme="minorHAnsi" w:hAnsiTheme="minorHAnsi" w:cstheme="minorHAnsi"/>
          <w:sz w:val="22"/>
          <w:szCs w:val="22"/>
        </w:rPr>
        <w:lastRenderedPageBreak/>
        <w:t>5.</w:t>
      </w:r>
      <w:r w:rsidR="00965DAC" w:rsidRPr="00965DAC">
        <w:rPr>
          <w:rFonts w:asciiTheme="minorHAnsi" w:hAnsiTheme="minorHAnsi" w:cstheme="minorHAnsi"/>
          <w:sz w:val="22"/>
          <w:szCs w:val="22"/>
        </w:rPr>
        <w:t>7</w:t>
      </w:r>
      <w:r w:rsidRPr="00965DAC">
        <w:rPr>
          <w:rFonts w:asciiTheme="minorHAnsi" w:hAnsiTheme="minorHAnsi" w:cstheme="minorHAnsi"/>
          <w:sz w:val="22"/>
          <w:szCs w:val="22"/>
        </w:rPr>
        <w:t>. Intégration à l’Active Directory Windows</w:t>
      </w:r>
      <w:bookmarkEnd w:id="42"/>
    </w:p>
    <w:p w14:paraId="38B34DB9"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 titulaire précisera la capacité d’intégrer ses équipements au domaine AD du CHU afin de bénéficier des moyens d’impression et de stockage. L’intégration au domaine implique l’acceptation des règles de gestion du CHU, notamment la distribution des mises à jour Windows ; le titulaire pourra définir les périodes de mise à jour.</w:t>
      </w:r>
    </w:p>
    <w:p w14:paraId="51B97D5C"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Dans le cas d’une session ouverte sur l’équipement correspondant à une session du domaine AD, celle-ci ne devra pas avoir de droits administrateurs sur l’équipement.</w:t>
      </w:r>
    </w:p>
    <w:p w14:paraId="540B1361" w14:textId="416B15F5"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 xml:space="preserve">Le titulaire précisera également la capacité du middleware à intégrer une interface LDAP / IAM pour la gestion des opérateurs (cf. </w:t>
      </w:r>
      <w:r w:rsidR="00D104D8">
        <w:rPr>
          <w:rFonts w:asciiTheme="minorHAnsi" w:hAnsiTheme="minorHAnsi" w:cstheme="minorHAnsi"/>
        </w:rPr>
        <w:t xml:space="preserve">« 3-CCTP </w:t>
      </w:r>
      <w:r w:rsidRPr="00965DAC">
        <w:rPr>
          <w:rFonts w:asciiTheme="minorHAnsi" w:hAnsiTheme="minorHAnsi" w:cstheme="minorHAnsi"/>
        </w:rPr>
        <w:t>Annexe</w:t>
      </w:r>
      <w:r w:rsidR="00D104D8">
        <w:rPr>
          <w:rFonts w:asciiTheme="minorHAnsi" w:hAnsiTheme="minorHAnsi" w:cstheme="minorHAnsi"/>
        </w:rPr>
        <w:t xml:space="preserve"> </w:t>
      </w:r>
      <w:proofErr w:type="gramStart"/>
      <w:r w:rsidR="00D104D8">
        <w:rPr>
          <w:rFonts w:asciiTheme="minorHAnsi" w:hAnsiTheme="minorHAnsi" w:cstheme="minorHAnsi"/>
        </w:rPr>
        <w:t>2.</w:t>
      </w:r>
      <w:r w:rsidRPr="00965DAC">
        <w:rPr>
          <w:rFonts w:asciiTheme="minorHAnsi" w:hAnsiTheme="minorHAnsi" w:cstheme="minorHAnsi"/>
        </w:rPr>
        <w:t>Connexion</w:t>
      </w:r>
      <w:proofErr w:type="gramEnd"/>
      <w:r w:rsidRPr="00965DAC">
        <w:rPr>
          <w:rFonts w:asciiTheme="minorHAnsi" w:hAnsiTheme="minorHAnsi" w:cstheme="minorHAnsi"/>
        </w:rPr>
        <w:t xml:space="preserve"> informatique</w:t>
      </w:r>
      <w:r w:rsidR="00D104D8">
        <w:rPr>
          <w:rFonts w:asciiTheme="minorHAnsi" w:hAnsiTheme="minorHAnsi" w:cstheme="minorHAnsi"/>
        </w:rPr>
        <w:t> »</w:t>
      </w:r>
      <w:r w:rsidRPr="00965DAC">
        <w:rPr>
          <w:rFonts w:asciiTheme="minorHAnsi" w:hAnsiTheme="minorHAnsi" w:cstheme="minorHAnsi"/>
        </w:rPr>
        <w:t>).</w:t>
      </w:r>
    </w:p>
    <w:p w14:paraId="47F34BBA" w14:textId="4594F545" w:rsidR="0086323F" w:rsidRPr="00965DAC" w:rsidRDefault="00964243" w:rsidP="00965DAC">
      <w:pPr>
        <w:pStyle w:val="Titre3"/>
        <w:jc w:val="both"/>
        <w:rPr>
          <w:rFonts w:asciiTheme="minorHAnsi" w:hAnsiTheme="minorHAnsi" w:cstheme="minorHAnsi"/>
          <w:sz w:val="22"/>
          <w:szCs w:val="22"/>
        </w:rPr>
      </w:pPr>
      <w:bookmarkStart w:id="43" w:name="_Toc232759483"/>
      <w:r w:rsidRPr="00965DAC">
        <w:rPr>
          <w:rFonts w:asciiTheme="minorHAnsi" w:hAnsiTheme="minorHAnsi" w:cstheme="minorHAnsi"/>
          <w:sz w:val="22"/>
          <w:szCs w:val="22"/>
        </w:rPr>
        <w:t>5.</w:t>
      </w:r>
      <w:r w:rsidR="00965DAC" w:rsidRPr="00965DAC">
        <w:rPr>
          <w:rFonts w:asciiTheme="minorHAnsi" w:hAnsiTheme="minorHAnsi" w:cstheme="minorHAnsi"/>
          <w:sz w:val="22"/>
          <w:szCs w:val="22"/>
        </w:rPr>
        <w:t>8</w:t>
      </w:r>
      <w:r w:rsidRPr="00965DAC">
        <w:rPr>
          <w:rFonts w:asciiTheme="minorHAnsi" w:hAnsiTheme="minorHAnsi" w:cstheme="minorHAnsi"/>
          <w:sz w:val="22"/>
          <w:szCs w:val="22"/>
        </w:rPr>
        <w:t xml:space="preserve">. </w:t>
      </w:r>
      <w:r w:rsidR="00965DAC" w:rsidRPr="00965DAC">
        <w:rPr>
          <w:rFonts w:asciiTheme="minorHAnsi" w:hAnsiTheme="minorHAnsi" w:cstheme="minorHAnsi"/>
          <w:sz w:val="22"/>
          <w:szCs w:val="22"/>
        </w:rPr>
        <w:t>Tickets</w:t>
      </w:r>
      <w:bookmarkEnd w:id="43"/>
    </w:p>
    <w:p w14:paraId="5BACF017" w14:textId="47697BC9" w:rsidR="0086323F" w:rsidRPr="00965DAC" w:rsidRDefault="00965DAC">
      <w:pPr>
        <w:spacing w:after="120"/>
        <w:jc w:val="both"/>
        <w:rPr>
          <w:rFonts w:asciiTheme="minorHAnsi" w:hAnsiTheme="minorHAnsi" w:cstheme="minorHAnsi"/>
        </w:rPr>
      </w:pPr>
      <w:r w:rsidRPr="00965DAC">
        <w:rPr>
          <w:rFonts w:asciiTheme="minorHAnsi" w:hAnsiTheme="minorHAnsi" w:cstheme="minorHAnsi"/>
        </w:rPr>
        <w:t>Le</w:t>
      </w:r>
      <w:r w:rsidR="00964243" w:rsidRPr="00965DAC">
        <w:rPr>
          <w:rFonts w:asciiTheme="minorHAnsi" w:hAnsiTheme="minorHAnsi" w:cstheme="minorHAnsi"/>
        </w:rPr>
        <w:t xml:space="preserve"> titulaire fournira les moyens d’impression</w:t>
      </w:r>
      <w:r w:rsidR="00A83D99" w:rsidRPr="00965DAC">
        <w:rPr>
          <w:rFonts w:asciiTheme="minorHAnsi" w:hAnsiTheme="minorHAnsi" w:cstheme="minorHAnsi"/>
        </w:rPr>
        <w:t xml:space="preserve"> et les consommables associés.</w:t>
      </w:r>
      <w:r w:rsidR="00964243" w:rsidRPr="00965DAC">
        <w:rPr>
          <w:rFonts w:asciiTheme="minorHAnsi" w:hAnsiTheme="minorHAnsi" w:cstheme="minorHAnsi"/>
        </w:rPr>
        <w:t xml:space="preserve"> </w:t>
      </w:r>
      <w:r w:rsidR="00A83D99" w:rsidRPr="00965DAC">
        <w:rPr>
          <w:rFonts w:asciiTheme="minorHAnsi" w:hAnsiTheme="minorHAnsi" w:cstheme="minorHAnsi"/>
        </w:rPr>
        <w:t>Il</w:t>
      </w:r>
      <w:r w:rsidR="00964243" w:rsidRPr="00965DAC">
        <w:rPr>
          <w:rFonts w:asciiTheme="minorHAnsi" w:hAnsiTheme="minorHAnsi" w:cstheme="minorHAnsi"/>
        </w:rPr>
        <w:t xml:space="preserve"> en assurera la maintenance sans surcoût. </w:t>
      </w:r>
    </w:p>
    <w:p w14:paraId="1483942D" w14:textId="0AF4394C" w:rsidR="0086323F" w:rsidRPr="00965DAC" w:rsidRDefault="00964243" w:rsidP="00965DAC">
      <w:pPr>
        <w:pStyle w:val="Titre3"/>
        <w:jc w:val="both"/>
        <w:rPr>
          <w:rFonts w:asciiTheme="minorHAnsi" w:hAnsiTheme="minorHAnsi" w:cstheme="minorHAnsi"/>
          <w:sz w:val="22"/>
          <w:szCs w:val="22"/>
        </w:rPr>
      </w:pPr>
      <w:bookmarkStart w:id="44" w:name="_Toc232759484"/>
      <w:r w:rsidRPr="00965DAC">
        <w:rPr>
          <w:rFonts w:asciiTheme="minorHAnsi" w:hAnsiTheme="minorHAnsi" w:cstheme="minorHAnsi"/>
          <w:sz w:val="22"/>
          <w:szCs w:val="22"/>
        </w:rPr>
        <w:t>5.</w:t>
      </w:r>
      <w:r w:rsidR="00965DAC" w:rsidRPr="00965DAC">
        <w:rPr>
          <w:rFonts w:asciiTheme="minorHAnsi" w:hAnsiTheme="minorHAnsi" w:cstheme="minorHAnsi"/>
          <w:sz w:val="22"/>
          <w:szCs w:val="22"/>
        </w:rPr>
        <w:t>9</w:t>
      </w:r>
      <w:r w:rsidRPr="00965DAC">
        <w:rPr>
          <w:rFonts w:asciiTheme="minorHAnsi" w:hAnsiTheme="minorHAnsi" w:cstheme="minorHAnsi"/>
          <w:sz w:val="22"/>
          <w:szCs w:val="22"/>
        </w:rPr>
        <w:t>. Redémarrages réguliers des composants</w:t>
      </w:r>
      <w:bookmarkEnd w:id="44"/>
    </w:p>
    <w:p w14:paraId="16D83274"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L’ensemble des composants doivent pouvoir être redémarrés de façon régulière, au minimum une fois par mois, redémarrage hebdomadaire préconisé. Le titulaire indiquera la procédure de redémarrage (notamment l’ordre) afin d’éviter toute perturbation. Ces redémarrages ne devront pas entraîner de désynchronisation ou de problème de reprise des connexions internes et externes.</w:t>
      </w:r>
    </w:p>
    <w:p w14:paraId="7F145724" w14:textId="2A64A674" w:rsidR="0086323F" w:rsidRPr="00965DAC" w:rsidRDefault="00964243" w:rsidP="00965DAC">
      <w:pPr>
        <w:pStyle w:val="Titre3"/>
        <w:jc w:val="both"/>
        <w:rPr>
          <w:rFonts w:asciiTheme="minorHAnsi" w:hAnsiTheme="minorHAnsi" w:cstheme="minorHAnsi"/>
          <w:sz w:val="22"/>
          <w:szCs w:val="22"/>
        </w:rPr>
      </w:pPr>
      <w:bookmarkStart w:id="45" w:name="_Toc232759485"/>
      <w:r w:rsidRPr="00965DAC">
        <w:rPr>
          <w:rFonts w:asciiTheme="minorHAnsi" w:hAnsiTheme="minorHAnsi" w:cstheme="minorHAnsi"/>
          <w:sz w:val="22"/>
          <w:szCs w:val="22"/>
        </w:rPr>
        <w:t>5.</w:t>
      </w:r>
      <w:r w:rsidR="00965DAC" w:rsidRPr="00965DAC">
        <w:rPr>
          <w:rFonts w:asciiTheme="minorHAnsi" w:hAnsiTheme="minorHAnsi" w:cstheme="minorHAnsi"/>
          <w:sz w:val="22"/>
          <w:szCs w:val="22"/>
        </w:rPr>
        <w:t>10</w:t>
      </w:r>
      <w:r w:rsidRPr="00965DAC">
        <w:rPr>
          <w:rFonts w:asciiTheme="minorHAnsi" w:hAnsiTheme="minorHAnsi" w:cstheme="minorHAnsi"/>
          <w:sz w:val="22"/>
          <w:szCs w:val="22"/>
        </w:rPr>
        <w:t>. Obsolescence des composants logiciels</w:t>
      </w:r>
      <w:bookmarkEnd w:id="45"/>
    </w:p>
    <w:p w14:paraId="4A5FF976"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Concernant les équipements physiques, la mise à niveau des composants logiciels critiques (OS, bases de données) sera conforme à la politique du CHU et à la charge du titulaire. Toute mise à niveau matérielle nécessaire est également prise en charge par le titulaire. En cas d’impossibilité de mise à niveau, une solution de sécurisation devra être fournie pendant toute la durée du marché.</w:t>
      </w:r>
    </w:p>
    <w:p w14:paraId="5EF20798"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Concernant les logiciels implantés sur architecture virtualisée ou postes CHU :</w:t>
      </w:r>
    </w:p>
    <w:p w14:paraId="061A495C"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les</w:t>
      </w:r>
      <w:proofErr w:type="gramEnd"/>
      <w:r w:rsidRPr="00965DAC">
        <w:rPr>
          <w:rFonts w:asciiTheme="minorHAnsi" w:hAnsiTheme="minorHAnsi" w:cstheme="minorHAnsi"/>
        </w:rPr>
        <w:t xml:space="preserve"> mises à niveau matérielles et des briques fournies par le CHU sont à la charge du CHU ;</w:t>
      </w:r>
    </w:p>
    <w:p w14:paraId="397CFA8E"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les</w:t>
      </w:r>
      <w:proofErr w:type="gramEnd"/>
      <w:r w:rsidRPr="00965DAC">
        <w:rPr>
          <w:rFonts w:asciiTheme="minorHAnsi" w:hAnsiTheme="minorHAnsi" w:cstheme="minorHAnsi"/>
        </w:rPr>
        <w:t xml:space="preserve"> mises à niveau des logiciels fournis par le titulaire restent à sa charge.</w:t>
      </w:r>
    </w:p>
    <w:p w14:paraId="0AA4F2E7" w14:textId="61D50741" w:rsidR="0086323F" w:rsidRPr="00965DAC" w:rsidRDefault="00964243" w:rsidP="00965DAC">
      <w:pPr>
        <w:pStyle w:val="Titre3"/>
        <w:jc w:val="both"/>
        <w:rPr>
          <w:rFonts w:asciiTheme="minorHAnsi" w:hAnsiTheme="minorHAnsi" w:cstheme="minorHAnsi"/>
          <w:sz w:val="22"/>
          <w:szCs w:val="22"/>
        </w:rPr>
      </w:pPr>
      <w:bookmarkStart w:id="46" w:name="_Toc232759486"/>
      <w:r w:rsidRPr="00965DAC">
        <w:rPr>
          <w:rFonts w:asciiTheme="minorHAnsi" w:hAnsiTheme="minorHAnsi" w:cstheme="minorHAnsi"/>
          <w:sz w:val="22"/>
          <w:szCs w:val="22"/>
        </w:rPr>
        <w:t>5.1</w:t>
      </w:r>
      <w:r w:rsidR="00965DAC" w:rsidRPr="00965DAC">
        <w:rPr>
          <w:rFonts w:asciiTheme="minorHAnsi" w:hAnsiTheme="minorHAnsi" w:cstheme="minorHAnsi"/>
          <w:sz w:val="22"/>
          <w:szCs w:val="22"/>
        </w:rPr>
        <w:t>1</w:t>
      </w:r>
      <w:r w:rsidRPr="00965DAC">
        <w:rPr>
          <w:rFonts w:asciiTheme="minorHAnsi" w:hAnsiTheme="minorHAnsi" w:cstheme="minorHAnsi"/>
          <w:sz w:val="22"/>
          <w:szCs w:val="22"/>
        </w:rPr>
        <w:t>. Reprise des données et réversibilité</w:t>
      </w:r>
      <w:bookmarkEnd w:id="46"/>
    </w:p>
    <w:p w14:paraId="7F215FBD" w14:textId="642AA67B" w:rsidR="00737B34" w:rsidRPr="00965DAC" w:rsidRDefault="00964243">
      <w:pPr>
        <w:spacing w:after="120"/>
        <w:jc w:val="both"/>
        <w:rPr>
          <w:rFonts w:asciiTheme="minorHAnsi" w:hAnsiTheme="minorHAnsi" w:cstheme="minorHAnsi"/>
        </w:rPr>
      </w:pPr>
      <w:r w:rsidRPr="00965DAC">
        <w:rPr>
          <w:rFonts w:asciiTheme="minorHAnsi" w:hAnsiTheme="minorHAnsi" w:cstheme="minorHAnsi"/>
        </w:rPr>
        <w:t xml:space="preserve">Le titulaire reprendra </w:t>
      </w:r>
      <w:proofErr w:type="gramStart"/>
      <w:r w:rsidRPr="00965DAC">
        <w:rPr>
          <w:rFonts w:asciiTheme="minorHAnsi" w:hAnsiTheme="minorHAnsi" w:cstheme="minorHAnsi"/>
        </w:rPr>
        <w:t>a</w:t>
      </w:r>
      <w:proofErr w:type="gramEnd"/>
      <w:r w:rsidRPr="00965DAC">
        <w:rPr>
          <w:rFonts w:asciiTheme="minorHAnsi" w:hAnsiTheme="minorHAnsi" w:cstheme="minorHAnsi"/>
        </w:rPr>
        <w:t xml:space="preserve"> minima 24 mois d’historique de données du </w:t>
      </w:r>
      <w:proofErr w:type="spellStart"/>
      <w:r w:rsidRPr="00965DAC">
        <w:rPr>
          <w:rFonts w:asciiTheme="minorHAnsi" w:hAnsiTheme="minorHAnsi" w:cstheme="minorHAnsi"/>
        </w:rPr>
        <w:t>POCcelerator</w:t>
      </w:r>
      <w:proofErr w:type="spellEnd"/>
      <w:r w:rsidRPr="00965DAC">
        <w:rPr>
          <w:rFonts w:asciiTheme="minorHAnsi" w:hAnsiTheme="minorHAnsi" w:cstheme="minorHAnsi"/>
        </w:rPr>
        <w:t xml:space="preserve"> (résultats patient</w:t>
      </w:r>
      <w:r w:rsidR="00737B34" w:rsidRPr="00965DAC">
        <w:rPr>
          <w:rFonts w:asciiTheme="minorHAnsi" w:hAnsiTheme="minorHAnsi" w:cstheme="minorHAnsi"/>
        </w:rPr>
        <w:t>)</w:t>
      </w:r>
    </w:p>
    <w:p w14:paraId="6C7055C3" w14:textId="4C836FA9" w:rsidR="00737B34" w:rsidRPr="00965DAC" w:rsidRDefault="00737B34">
      <w:pPr>
        <w:spacing w:after="120"/>
        <w:jc w:val="both"/>
        <w:rPr>
          <w:rFonts w:asciiTheme="minorHAnsi" w:hAnsiTheme="minorHAnsi" w:cstheme="minorHAnsi"/>
        </w:rPr>
      </w:pPr>
      <w:r w:rsidRPr="00965DAC">
        <w:rPr>
          <w:rFonts w:asciiTheme="minorHAnsi" w:hAnsiTheme="minorHAnsi" w:cstheme="minorHAnsi"/>
        </w:rPr>
        <w:t>Il re</w:t>
      </w:r>
      <w:r w:rsidR="00205AA2">
        <w:rPr>
          <w:rFonts w:asciiTheme="minorHAnsi" w:hAnsiTheme="minorHAnsi" w:cstheme="minorHAnsi"/>
        </w:rPr>
        <w:t>p</w:t>
      </w:r>
      <w:r w:rsidRPr="00965DAC">
        <w:rPr>
          <w:rFonts w:asciiTheme="minorHAnsi" w:hAnsiTheme="minorHAnsi" w:cstheme="minorHAnsi"/>
        </w:rPr>
        <w:t xml:space="preserve">rendra également </w:t>
      </w:r>
      <w:r w:rsidR="00964243" w:rsidRPr="00965DAC">
        <w:rPr>
          <w:rFonts w:asciiTheme="minorHAnsi" w:hAnsiTheme="minorHAnsi" w:cstheme="minorHAnsi"/>
        </w:rPr>
        <w:t>paramétrage opérateurs et habilitations</w:t>
      </w:r>
      <w:r w:rsidRPr="00965DAC">
        <w:rPr>
          <w:rFonts w:asciiTheme="minorHAnsi" w:hAnsiTheme="minorHAnsi" w:cstheme="minorHAnsi"/>
        </w:rPr>
        <w:t xml:space="preserve"> lors du déploiement</w:t>
      </w:r>
    </w:p>
    <w:p w14:paraId="37907DBD" w14:textId="695F7CC9" w:rsidR="00737B34" w:rsidRPr="00965DAC" w:rsidRDefault="00964243">
      <w:pPr>
        <w:spacing w:after="120"/>
        <w:jc w:val="both"/>
        <w:rPr>
          <w:rFonts w:asciiTheme="minorHAnsi" w:hAnsiTheme="minorHAnsi" w:cstheme="minorHAnsi"/>
        </w:rPr>
      </w:pPr>
      <w:r w:rsidRPr="00965DAC">
        <w:rPr>
          <w:rFonts w:asciiTheme="minorHAnsi" w:hAnsiTheme="minorHAnsi" w:cstheme="minorHAnsi"/>
        </w:rPr>
        <w:t>Ce</w:t>
      </w:r>
      <w:r w:rsidR="00737B34" w:rsidRPr="00965DAC">
        <w:rPr>
          <w:rFonts w:asciiTheme="minorHAnsi" w:hAnsiTheme="minorHAnsi" w:cstheme="minorHAnsi"/>
        </w:rPr>
        <w:t>s</w:t>
      </w:r>
      <w:r w:rsidRPr="00965DAC">
        <w:rPr>
          <w:rFonts w:asciiTheme="minorHAnsi" w:hAnsiTheme="minorHAnsi" w:cstheme="minorHAnsi"/>
        </w:rPr>
        <w:t xml:space="preserve"> reprise</w:t>
      </w:r>
      <w:r w:rsidR="00737B34" w:rsidRPr="00965DAC">
        <w:rPr>
          <w:rFonts w:asciiTheme="minorHAnsi" w:hAnsiTheme="minorHAnsi" w:cstheme="minorHAnsi"/>
        </w:rPr>
        <w:t>s</w:t>
      </w:r>
      <w:r w:rsidRPr="00965DAC">
        <w:rPr>
          <w:rFonts w:asciiTheme="minorHAnsi" w:hAnsiTheme="minorHAnsi" w:cstheme="minorHAnsi"/>
        </w:rPr>
        <w:t xml:space="preserve"> s</w:t>
      </w:r>
      <w:r w:rsidR="00737B34" w:rsidRPr="00965DAC">
        <w:rPr>
          <w:rFonts w:asciiTheme="minorHAnsi" w:hAnsiTheme="minorHAnsi" w:cstheme="minorHAnsi"/>
        </w:rPr>
        <w:t>on</w:t>
      </w:r>
      <w:r w:rsidRPr="00965DAC">
        <w:rPr>
          <w:rFonts w:asciiTheme="minorHAnsi" w:hAnsiTheme="minorHAnsi" w:cstheme="minorHAnsi"/>
        </w:rPr>
        <w:t>t intégrée</w:t>
      </w:r>
      <w:r w:rsidR="00737B34" w:rsidRPr="00965DAC">
        <w:rPr>
          <w:rFonts w:asciiTheme="minorHAnsi" w:hAnsiTheme="minorHAnsi" w:cstheme="minorHAnsi"/>
        </w:rPr>
        <w:t>s</w:t>
      </w:r>
      <w:r w:rsidRPr="00965DAC">
        <w:rPr>
          <w:rFonts w:asciiTheme="minorHAnsi" w:hAnsiTheme="minorHAnsi" w:cstheme="minorHAnsi"/>
        </w:rPr>
        <w:t xml:space="preserve"> dans l’offre.</w:t>
      </w:r>
    </w:p>
    <w:p w14:paraId="34754139"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En fin de marché, le titulaire fournira sous format ouvert documenté (CSV, XML, ou export base SQL) la totalité des données du middleware et procédera, le cas échéant, à la dépose des équipements informatiques et à la suppression sécurisée des données après validation du CHU.</w:t>
      </w:r>
    </w:p>
    <w:p w14:paraId="1153F376" w14:textId="77777777" w:rsidR="0086323F" w:rsidRPr="00206109" w:rsidRDefault="00964243">
      <w:pPr>
        <w:pStyle w:val="Titre1"/>
        <w:rPr>
          <w:rFonts w:asciiTheme="minorHAnsi" w:hAnsiTheme="minorHAnsi" w:cstheme="minorHAnsi"/>
        </w:rPr>
      </w:pPr>
      <w:bookmarkStart w:id="47" w:name="_Toc232759487"/>
      <w:r w:rsidRPr="00965DAC">
        <w:rPr>
          <w:rFonts w:asciiTheme="minorHAnsi" w:hAnsiTheme="minorHAnsi" w:cstheme="minorHAnsi"/>
        </w:rPr>
        <w:t>6. Installation</w:t>
      </w:r>
      <w:bookmarkEnd w:id="47"/>
    </w:p>
    <w:p w14:paraId="4904DA5D" w14:textId="6AF73371" w:rsidR="0094756D" w:rsidRPr="003C4BBB" w:rsidRDefault="00964243" w:rsidP="003C4BBB">
      <w:pPr>
        <w:pStyle w:val="Titre2"/>
        <w:rPr>
          <w:rFonts w:ascii="Calibri" w:hAnsi="Calibri" w:cs="Calibri"/>
          <w:color w:val="767171" w:themeColor="background2" w:themeShade="80"/>
          <w:sz w:val="22"/>
          <w:szCs w:val="22"/>
        </w:rPr>
      </w:pPr>
      <w:r w:rsidRPr="003C4BBB">
        <w:rPr>
          <w:rFonts w:ascii="Calibri" w:hAnsi="Calibri" w:cs="Calibri"/>
          <w:color w:val="767171" w:themeColor="background2" w:themeShade="80"/>
          <w:sz w:val="22"/>
          <w:szCs w:val="22"/>
        </w:rPr>
        <w:t>6.1. Déploiement</w:t>
      </w:r>
    </w:p>
    <w:p w14:paraId="29F3A6FA" w14:textId="77777777" w:rsidR="003C4BBB" w:rsidRDefault="003C4BBB" w:rsidP="0094756D">
      <w:pPr>
        <w:spacing w:after="120"/>
        <w:jc w:val="both"/>
        <w:rPr>
          <w:rFonts w:asciiTheme="minorHAnsi" w:hAnsiTheme="minorHAnsi" w:cstheme="minorHAnsi"/>
        </w:rPr>
      </w:pPr>
    </w:p>
    <w:p w14:paraId="49CD551A" w14:textId="1A14C5C4" w:rsidR="0094756D" w:rsidRPr="00965DAC" w:rsidRDefault="00E775AA" w:rsidP="0094756D">
      <w:pPr>
        <w:spacing w:after="120"/>
        <w:jc w:val="both"/>
        <w:rPr>
          <w:rFonts w:asciiTheme="minorHAnsi" w:hAnsiTheme="minorHAnsi" w:cstheme="minorHAnsi"/>
        </w:rPr>
      </w:pPr>
      <w:r w:rsidRPr="00965DAC">
        <w:rPr>
          <w:rFonts w:asciiTheme="minorHAnsi" w:hAnsiTheme="minorHAnsi" w:cstheme="minorHAnsi"/>
        </w:rPr>
        <w:t>Suite à la notificat</w:t>
      </w:r>
      <w:r w:rsidR="00205AA2">
        <w:rPr>
          <w:rFonts w:asciiTheme="minorHAnsi" w:hAnsiTheme="minorHAnsi" w:cstheme="minorHAnsi"/>
        </w:rPr>
        <w:t>i</w:t>
      </w:r>
      <w:r w:rsidRPr="00965DAC">
        <w:rPr>
          <w:rFonts w:asciiTheme="minorHAnsi" w:hAnsiTheme="minorHAnsi" w:cstheme="minorHAnsi"/>
        </w:rPr>
        <w:t xml:space="preserve">on, </w:t>
      </w:r>
      <w:r w:rsidR="0053350A" w:rsidRPr="00965DAC">
        <w:rPr>
          <w:rFonts w:asciiTheme="minorHAnsi" w:hAnsiTheme="minorHAnsi" w:cstheme="minorHAnsi"/>
        </w:rPr>
        <w:t>u</w:t>
      </w:r>
      <w:r w:rsidR="0094756D" w:rsidRPr="00965DAC">
        <w:rPr>
          <w:rFonts w:asciiTheme="minorHAnsi" w:hAnsiTheme="minorHAnsi" w:cstheme="minorHAnsi"/>
        </w:rPr>
        <w:t xml:space="preserve">ne visite de pré-installation est obligatoire afin de vérifier la capacité du service à accueillir l'instrument ; le </w:t>
      </w:r>
      <w:r w:rsidR="007E0F47">
        <w:rPr>
          <w:rFonts w:asciiTheme="minorHAnsi" w:hAnsiTheme="minorHAnsi" w:cstheme="minorHAnsi"/>
        </w:rPr>
        <w:t>titulaire</w:t>
      </w:r>
      <w:r w:rsidR="0094756D" w:rsidRPr="00965DAC">
        <w:rPr>
          <w:rFonts w:asciiTheme="minorHAnsi" w:hAnsiTheme="minorHAnsi" w:cstheme="minorHAnsi"/>
        </w:rPr>
        <w:t xml:space="preserve"> précisera sa capacité ou non à installer l'instrument sans travaux (paillasse, électricité, réseau, fluidique). Pour effectuer ces visites, le</w:t>
      </w:r>
      <w:r w:rsidR="007E0F47">
        <w:rPr>
          <w:rFonts w:asciiTheme="minorHAnsi" w:hAnsiTheme="minorHAnsi" w:cstheme="minorHAnsi"/>
        </w:rPr>
        <w:t xml:space="preserve"> titulaire </w:t>
      </w:r>
      <w:r w:rsidR="0094756D" w:rsidRPr="00965DAC">
        <w:rPr>
          <w:rFonts w:asciiTheme="minorHAnsi" w:hAnsiTheme="minorHAnsi" w:cstheme="minorHAnsi"/>
        </w:rPr>
        <w:t>prendr</w:t>
      </w:r>
      <w:r w:rsidR="007E0F47">
        <w:rPr>
          <w:rFonts w:asciiTheme="minorHAnsi" w:hAnsiTheme="minorHAnsi" w:cstheme="minorHAnsi"/>
        </w:rPr>
        <w:t>a</w:t>
      </w:r>
      <w:r w:rsidR="0094756D" w:rsidRPr="00965DAC">
        <w:rPr>
          <w:rFonts w:asciiTheme="minorHAnsi" w:hAnsiTheme="minorHAnsi" w:cstheme="minorHAnsi"/>
        </w:rPr>
        <w:t xml:space="preserve"> contact avec</w:t>
      </w:r>
      <w:r w:rsidR="00965DAC">
        <w:rPr>
          <w:rFonts w:asciiTheme="minorHAnsi" w:hAnsiTheme="minorHAnsi" w:cstheme="minorHAnsi"/>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3"/>
        <w:gridCol w:w="6076"/>
      </w:tblGrid>
      <w:tr w:rsidR="00965DAC" w:rsidRPr="00965DAC" w14:paraId="18190BCC" w14:textId="77777777" w:rsidTr="0053350A">
        <w:trPr>
          <w:tblHeader/>
          <w:tblCellSpacing w:w="15" w:type="dxa"/>
        </w:trPr>
        <w:tc>
          <w:tcPr>
            <w:tcW w:w="0" w:type="auto"/>
            <w:vAlign w:val="center"/>
            <w:hideMark/>
          </w:tcPr>
          <w:p w14:paraId="472175C4" w14:textId="77777777" w:rsidR="0053350A" w:rsidRPr="00965DAC" w:rsidRDefault="0053350A">
            <w:pPr>
              <w:jc w:val="center"/>
              <w:rPr>
                <w:rFonts w:asciiTheme="minorHAnsi" w:hAnsiTheme="minorHAnsi" w:cstheme="minorHAnsi"/>
                <w:b/>
                <w:bCs/>
              </w:rPr>
            </w:pPr>
            <w:r w:rsidRPr="00965DAC">
              <w:rPr>
                <w:rStyle w:val="lev"/>
                <w:rFonts w:asciiTheme="minorHAnsi" w:hAnsiTheme="minorHAnsi" w:cstheme="minorHAnsi"/>
              </w:rPr>
              <w:lastRenderedPageBreak/>
              <w:t>Benoit DOGNY</w:t>
            </w:r>
          </w:p>
        </w:tc>
        <w:tc>
          <w:tcPr>
            <w:tcW w:w="0" w:type="auto"/>
            <w:vAlign w:val="center"/>
            <w:hideMark/>
          </w:tcPr>
          <w:p w14:paraId="69AFCB59" w14:textId="77777777" w:rsidR="0053350A" w:rsidRPr="00965DAC" w:rsidRDefault="0053350A">
            <w:pPr>
              <w:jc w:val="center"/>
              <w:rPr>
                <w:rFonts w:asciiTheme="minorHAnsi" w:hAnsiTheme="minorHAnsi" w:cstheme="minorHAnsi"/>
                <w:b/>
                <w:bCs/>
              </w:rPr>
            </w:pPr>
            <w:r w:rsidRPr="00965DAC">
              <w:rPr>
                <w:rFonts w:asciiTheme="minorHAnsi" w:hAnsiTheme="minorHAnsi" w:cstheme="minorHAnsi"/>
                <w:b/>
                <w:bCs/>
              </w:rPr>
              <w:t xml:space="preserve">Ingénieur biomédical – 05 67 69 03 91 – </w:t>
            </w:r>
            <w:hyperlink r:id="rId13" w:history="1">
              <w:r w:rsidRPr="00965DAC">
                <w:rPr>
                  <w:rStyle w:val="Lienhypertexte"/>
                  <w:rFonts w:asciiTheme="minorHAnsi" w:hAnsiTheme="minorHAnsi" w:cstheme="minorHAnsi"/>
                  <w:b/>
                  <w:bCs/>
                  <w:color w:val="auto"/>
                </w:rPr>
                <w:t>dogny.b@chu-toulouse.fr</w:t>
              </w:r>
            </w:hyperlink>
          </w:p>
        </w:tc>
      </w:tr>
    </w:tbl>
    <w:p w14:paraId="058BFFFB" w14:textId="77777777" w:rsidR="00205AA2" w:rsidRDefault="00205AA2" w:rsidP="003506AE">
      <w:pPr>
        <w:rPr>
          <w:rFonts w:asciiTheme="minorHAnsi" w:hAnsiTheme="minorHAnsi" w:cstheme="minorHAnsi"/>
        </w:rPr>
      </w:pPr>
    </w:p>
    <w:p w14:paraId="606F4864" w14:textId="3A4BB5D8" w:rsidR="00965DAC" w:rsidRDefault="0094756D" w:rsidP="003506AE">
      <w:pPr>
        <w:rPr>
          <w:rFonts w:asciiTheme="minorHAnsi" w:hAnsiTheme="minorHAnsi" w:cstheme="minorHAnsi"/>
        </w:rPr>
      </w:pPr>
      <w:r w:rsidRPr="00973A9B">
        <w:rPr>
          <w:rFonts w:asciiTheme="minorHAnsi" w:hAnsiTheme="minorHAnsi" w:cstheme="minorHAnsi"/>
        </w:rPr>
        <w:t xml:space="preserve">Le titulaire fournira l'ensemble du matériel nécessaire à l'installation, qu'il soit électrique, fluidique, mobilier (paillasses </w:t>
      </w:r>
      <w:r w:rsidRPr="00965DAC">
        <w:rPr>
          <w:rFonts w:asciiTheme="minorHAnsi" w:hAnsiTheme="minorHAnsi" w:cstheme="minorHAnsi"/>
        </w:rPr>
        <w:t>dédiées, chariots) ou informatique. Concernant les besoins en mobilier dédié (colonnes informatiques, supports d'analyseurs), ils sont obligatoirement couverts par l'offre du titulaire.</w:t>
      </w:r>
    </w:p>
    <w:p w14:paraId="72AC7097" w14:textId="1F64286B" w:rsidR="0086323F" w:rsidRPr="003C4BBB" w:rsidRDefault="00964243" w:rsidP="003C4BBB">
      <w:pPr>
        <w:pStyle w:val="Titre2"/>
        <w:rPr>
          <w:rFonts w:asciiTheme="minorHAnsi" w:hAnsiTheme="minorHAnsi" w:cstheme="minorHAnsi"/>
          <w:color w:val="767171" w:themeColor="background2" w:themeShade="80"/>
          <w:sz w:val="22"/>
          <w:szCs w:val="22"/>
        </w:rPr>
      </w:pPr>
      <w:bookmarkStart w:id="48" w:name="_Toc232759488"/>
      <w:r w:rsidRPr="003C4BBB">
        <w:rPr>
          <w:rFonts w:asciiTheme="minorHAnsi" w:hAnsiTheme="minorHAnsi" w:cstheme="minorHAnsi"/>
          <w:color w:val="767171" w:themeColor="background2" w:themeShade="80"/>
          <w:sz w:val="22"/>
          <w:szCs w:val="22"/>
        </w:rPr>
        <w:t>6.2. Détail de la proposition d’installation</w:t>
      </w:r>
      <w:bookmarkEnd w:id="48"/>
    </w:p>
    <w:p w14:paraId="5C683EA0"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Le candidat détaillera le contenu exact de sa fourniture ainsi que son périmètre d’action dans le cadre de sa prestation d’installation.</w:t>
      </w:r>
    </w:p>
    <w:p w14:paraId="26375E03"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L’installation des appareils sera effectuée par le candidat retenu. La manutention, ainsi que les éventuelles détériorations causées lors de la livraison et du montage de l’appareil, seront à la charge du titulaire du marché. La réception du matériel comprend la livraison, l’installation, la mise en service en routine, les connexions informatiques opérationnelles et la formation de 1er niveau et validation des méthodes.</w:t>
      </w:r>
    </w:p>
    <w:p w14:paraId="351E636B" w14:textId="77777777"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Elle sera concrétisée par un procès-verbal de réception définitive cosigné par le chef de service utilisateur, le biologiste référent et l’ingénieur biomédical responsable de cette consultation.</w:t>
      </w:r>
    </w:p>
    <w:p w14:paraId="69D8E0E7" w14:textId="77777777" w:rsidR="0086323F" w:rsidRPr="003C4BBB" w:rsidRDefault="00964243">
      <w:pPr>
        <w:pStyle w:val="Titre2"/>
        <w:rPr>
          <w:rFonts w:asciiTheme="minorHAnsi" w:hAnsiTheme="minorHAnsi" w:cstheme="minorHAnsi"/>
          <w:color w:val="767171" w:themeColor="background2" w:themeShade="80"/>
          <w:sz w:val="22"/>
          <w:szCs w:val="22"/>
        </w:rPr>
      </w:pPr>
      <w:bookmarkStart w:id="49" w:name="_Toc232759489"/>
      <w:r w:rsidRPr="003C4BBB">
        <w:rPr>
          <w:rFonts w:asciiTheme="minorHAnsi" w:hAnsiTheme="minorHAnsi" w:cstheme="minorHAnsi"/>
          <w:color w:val="767171" w:themeColor="background2" w:themeShade="80"/>
          <w:sz w:val="22"/>
          <w:szCs w:val="22"/>
        </w:rPr>
        <w:t>6.3. Planning prévisionnel et coordination avec le sortant</w:t>
      </w:r>
      <w:bookmarkEnd w:id="49"/>
    </w:p>
    <w:p w14:paraId="4038E060" w14:textId="4F0D4A63" w:rsidR="0086323F" w:rsidRPr="00965DAC" w:rsidRDefault="00964243">
      <w:pPr>
        <w:spacing w:after="120"/>
        <w:jc w:val="both"/>
        <w:rPr>
          <w:rFonts w:asciiTheme="minorHAnsi" w:hAnsiTheme="minorHAnsi" w:cstheme="minorHAnsi"/>
        </w:rPr>
      </w:pPr>
      <w:r w:rsidRPr="00965DAC">
        <w:rPr>
          <w:rFonts w:asciiTheme="minorHAnsi" w:hAnsiTheme="minorHAnsi" w:cstheme="minorHAnsi"/>
        </w:rPr>
        <w:t>Compte tenu de l’échéance du marché actuel et de l’obligation de continuité de service (parc 7 jours / 7, 24 h / 24), le candidat fournira dans son offre un planning détaillé de déploiement comprenant :</w:t>
      </w:r>
    </w:p>
    <w:p w14:paraId="071FBFA0"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le</w:t>
      </w:r>
      <w:proofErr w:type="gramEnd"/>
      <w:r w:rsidRPr="00965DAC">
        <w:rPr>
          <w:rFonts w:asciiTheme="minorHAnsi" w:hAnsiTheme="minorHAnsi" w:cstheme="minorHAnsi"/>
        </w:rPr>
        <w:t xml:space="preserve"> déploiement par site et par service, avec phasage permettant le maintien d’une solution de back-up à chaque étape ;</w:t>
      </w:r>
    </w:p>
    <w:p w14:paraId="680709B5"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la</w:t>
      </w:r>
      <w:proofErr w:type="gramEnd"/>
      <w:r w:rsidRPr="00965DAC">
        <w:rPr>
          <w:rFonts w:asciiTheme="minorHAnsi" w:hAnsiTheme="minorHAnsi" w:cstheme="minorHAnsi"/>
        </w:rPr>
        <w:t xml:space="preserve"> migration des opérateurs / habilitations ;</w:t>
      </w:r>
    </w:p>
    <w:p w14:paraId="710C4183" w14:textId="4B5A7506"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la</w:t>
      </w:r>
      <w:proofErr w:type="gramEnd"/>
      <w:r w:rsidRPr="00965DAC">
        <w:rPr>
          <w:rFonts w:asciiTheme="minorHAnsi" w:hAnsiTheme="minorHAnsi" w:cstheme="minorHAnsi"/>
        </w:rPr>
        <w:t xml:space="preserve"> bascule des interfaces SIL </w:t>
      </w:r>
      <w:proofErr w:type="spellStart"/>
      <w:r w:rsidRPr="00965DAC">
        <w:rPr>
          <w:rFonts w:asciiTheme="minorHAnsi" w:hAnsiTheme="minorHAnsi" w:cstheme="minorHAnsi"/>
        </w:rPr>
        <w:t>Molis</w:t>
      </w:r>
      <w:proofErr w:type="spellEnd"/>
      <w:r w:rsidRPr="00965DAC">
        <w:rPr>
          <w:rFonts w:asciiTheme="minorHAnsi" w:hAnsiTheme="minorHAnsi" w:cstheme="minorHAnsi"/>
        </w:rPr>
        <w:t xml:space="preserve"> ) et la phase de double-run validée ;</w:t>
      </w:r>
    </w:p>
    <w:p w14:paraId="7E3A39D8" w14:textId="77777777" w:rsidR="0086323F" w:rsidRPr="00965DAC" w:rsidRDefault="00964243">
      <w:pPr>
        <w:pStyle w:val="Paragraphedeliste"/>
        <w:numPr>
          <w:ilvl w:val="0"/>
          <w:numId w:val="2"/>
        </w:numPr>
        <w:spacing w:after="80"/>
        <w:jc w:val="both"/>
        <w:rPr>
          <w:rFonts w:asciiTheme="minorHAnsi" w:hAnsiTheme="minorHAnsi" w:cstheme="minorHAnsi"/>
        </w:rPr>
      </w:pPr>
      <w:proofErr w:type="gramStart"/>
      <w:r w:rsidRPr="00965DAC">
        <w:rPr>
          <w:rFonts w:asciiTheme="minorHAnsi" w:hAnsiTheme="minorHAnsi" w:cstheme="minorHAnsi"/>
        </w:rPr>
        <w:t>la</w:t>
      </w:r>
      <w:proofErr w:type="gramEnd"/>
      <w:r w:rsidRPr="00965DAC">
        <w:rPr>
          <w:rFonts w:asciiTheme="minorHAnsi" w:hAnsiTheme="minorHAnsi" w:cstheme="minorHAnsi"/>
        </w:rPr>
        <w:t xml:space="preserve"> formation des utilisateurs en amont du go-live de chaque site.</w:t>
      </w:r>
    </w:p>
    <w:p w14:paraId="1ACA0C08" w14:textId="77777777" w:rsidR="0086323F" w:rsidRPr="00206109" w:rsidRDefault="00964243">
      <w:pPr>
        <w:pStyle w:val="Titre1"/>
        <w:rPr>
          <w:rFonts w:asciiTheme="minorHAnsi" w:hAnsiTheme="minorHAnsi" w:cstheme="minorHAnsi"/>
        </w:rPr>
      </w:pPr>
      <w:bookmarkStart w:id="50" w:name="_Toc232759490"/>
      <w:r w:rsidRPr="00206109">
        <w:rPr>
          <w:rFonts w:asciiTheme="minorHAnsi" w:hAnsiTheme="minorHAnsi" w:cstheme="minorHAnsi"/>
        </w:rPr>
        <w:t>7. Annexes et questionnaires</w:t>
      </w:r>
      <w:bookmarkEnd w:id="50"/>
    </w:p>
    <w:p w14:paraId="543C4C6C" w14:textId="77777777" w:rsidR="0086323F" w:rsidRPr="00206109" w:rsidRDefault="00964243">
      <w:pPr>
        <w:spacing w:after="120"/>
        <w:jc w:val="both"/>
        <w:rPr>
          <w:rFonts w:asciiTheme="minorHAnsi" w:hAnsiTheme="minorHAnsi" w:cstheme="minorHAnsi"/>
        </w:rPr>
      </w:pPr>
      <w:r w:rsidRPr="00206109">
        <w:rPr>
          <w:rFonts w:asciiTheme="minorHAnsi" w:hAnsiTheme="minorHAnsi" w:cstheme="minorHAnsi"/>
        </w:rPr>
        <w:t>Les candidats répondront obligatoirement aux annexes listées ci-après. Ils pourront compléter ces documents pour détailler leur solution.</w:t>
      </w:r>
    </w:p>
    <w:p w14:paraId="06D02C48" w14:textId="77777777" w:rsidR="00D06911" w:rsidRPr="00D06911" w:rsidRDefault="00D06911" w:rsidP="00D06911">
      <w:pPr>
        <w:pStyle w:val="Paragraphedeliste"/>
        <w:numPr>
          <w:ilvl w:val="0"/>
          <w:numId w:val="34"/>
        </w:numPr>
        <w:spacing w:after="120"/>
        <w:contextualSpacing/>
        <w:jc w:val="both"/>
        <w:rPr>
          <w:sz w:val="20"/>
        </w:rPr>
      </w:pPr>
      <w:bookmarkStart w:id="51" w:name="_Hlk232770589"/>
      <w:r w:rsidRPr="00D06911">
        <w:rPr>
          <w:sz w:val="20"/>
        </w:rPr>
        <w:t xml:space="preserve">3-CCTP Annexe </w:t>
      </w:r>
      <w:proofErr w:type="gramStart"/>
      <w:r w:rsidRPr="00D06911">
        <w:rPr>
          <w:sz w:val="20"/>
        </w:rPr>
        <w:t>1.Cadre</w:t>
      </w:r>
      <w:proofErr w:type="gramEnd"/>
      <w:r w:rsidRPr="00D06911">
        <w:rPr>
          <w:sz w:val="20"/>
        </w:rPr>
        <w:t xml:space="preserve"> réponse technique</w:t>
      </w:r>
    </w:p>
    <w:p w14:paraId="7B3F76DB" w14:textId="7DDEE7D7"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2.</w:t>
      </w:r>
      <w:r w:rsidR="00A36D9D" w:rsidRPr="00D06911">
        <w:rPr>
          <w:sz w:val="20"/>
        </w:rPr>
        <w:t>Connexion</w:t>
      </w:r>
      <w:proofErr w:type="gramEnd"/>
      <w:r w:rsidR="00A36D9D" w:rsidRPr="00D06911">
        <w:rPr>
          <w:sz w:val="20"/>
        </w:rPr>
        <w:t xml:space="preserve"> informatique  </w:t>
      </w:r>
    </w:p>
    <w:p w14:paraId="4CBFB24F" w14:textId="6B711C1D"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3.</w:t>
      </w:r>
      <w:r w:rsidR="00A36D9D" w:rsidRPr="00D06911">
        <w:rPr>
          <w:sz w:val="20"/>
        </w:rPr>
        <w:t>Fiche</w:t>
      </w:r>
      <w:proofErr w:type="gramEnd"/>
      <w:r w:rsidR="00A36D9D" w:rsidRPr="00D06911">
        <w:rPr>
          <w:sz w:val="20"/>
        </w:rPr>
        <w:t xml:space="preserve"> technique des instruments</w:t>
      </w:r>
    </w:p>
    <w:p w14:paraId="71285930" w14:textId="77777777"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4.CADRE</w:t>
      </w:r>
      <w:proofErr w:type="gramEnd"/>
      <w:r w:rsidRPr="00D06911">
        <w:rPr>
          <w:sz w:val="20"/>
        </w:rPr>
        <w:t xml:space="preserve"> REPONSE TECHNIQUE CANDIDAT SAV GBM </w:t>
      </w:r>
    </w:p>
    <w:p w14:paraId="33F27422" w14:textId="77777777"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5.Equipement</w:t>
      </w:r>
      <w:proofErr w:type="gramEnd"/>
      <w:r w:rsidRPr="00D06911">
        <w:rPr>
          <w:sz w:val="20"/>
        </w:rPr>
        <w:t xml:space="preserve"> à remplacer avec besoin en </w:t>
      </w:r>
      <w:proofErr w:type="spellStart"/>
      <w:r w:rsidRPr="00D06911">
        <w:rPr>
          <w:sz w:val="20"/>
        </w:rPr>
        <w:t>oduleurs</w:t>
      </w:r>
      <w:proofErr w:type="spellEnd"/>
      <w:r w:rsidRPr="00D06911">
        <w:rPr>
          <w:sz w:val="20"/>
        </w:rPr>
        <w:t xml:space="preserve"> et chariots</w:t>
      </w:r>
    </w:p>
    <w:p w14:paraId="775E1331" w14:textId="77777777"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6.Extraction</w:t>
      </w:r>
      <w:proofErr w:type="gramEnd"/>
      <w:r w:rsidRPr="00D06911">
        <w:rPr>
          <w:sz w:val="20"/>
        </w:rPr>
        <w:t xml:space="preserve"> activité horaire 3 premiers mois année</w:t>
      </w:r>
    </w:p>
    <w:p w14:paraId="6F132CA5" w14:textId="77777777"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7.Protocole</w:t>
      </w:r>
      <w:proofErr w:type="gramEnd"/>
      <w:r w:rsidRPr="00D06911">
        <w:rPr>
          <w:sz w:val="20"/>
        </w:rPr>
        <w:t xml:space="preserve"> essais </w:t>
      </w:r>
      <w:proofErr w:type="spellStart"/>
      <w:r w:rsidRPr="00D06911">
        <w:rPr>
          <w:sz w:val="20"/>
        </w:rPr>
        <w:t>evaluation</w:t>
      </w:r>
      <w:proofErr w:type="spellEnd"/>
    </w:p>
    <w:p w14:paraId="4DA49ADF" w14:textId="77777777" w:rsidR="00D06911" w:rsidRPr="00D06911" w:rsidRDefault="00D06911" w:rsidP="00D06911">
      <w:pPr>
        <w:pStyle w:val="Paragraphedeliste"/>
        <w:numPr>
          <w:ilvl w:val="0"/>
          <w:numId w:val="34"/>
        </w:numPr>
        <w:spacing w:after="120"/>
        <w:contextualSpacing/>
        <w:jc w:val="both"/>
        <w:rPr>
          <w:sz w:val="20"/>
        </w:rPr>
      </w:pPr>
      <w:r w:rsidRPr="00D06911">
        <w:rPr>
          <w:sz w:val="20"/>
        </w:rPr>
        <w:t xml:space="preserve">3-CCTP Annexe </w:t>
      </w:r>
      <w:proofErr w:type="gramStart"/>
      <w:r w:rsidRPr="00D06911">
        <w:rPr>
          <w:sz w:val="20"/>
        </w:rPr>
        <w:t>8.Cahier</w:t>
      </w:r>
      <w:proofErr w:type="gramEnd"/>
      <w:r w:rsidRPr="00D06911">
        <w:rPr>
          <w:sz w:val="20"/>
        </w:rPr>
        <w:t xml:space="preserve"> des charges </w:t>
      </w:r>
      <w:proofErr w:type="spellStart"/>
      <w:r w:rsidRPr="00D06911">
        <w:rPr>
          <w:sz w:val="20"/>
        </w:rPr>
        <w:t>VdM</w:t>
      </w:r>
      <w:proofErr w:type="spellEnd"/>
      <w:r w:rsidRPr="00D06911">
        <w:rPr>
          <w:sz w:val="20"/>
        </w:rPr>
        <w:t xml:space="preserve"> AO</w:t>
      </w:r>
    </w:p>
    <w:bookmarkEnd w:id="51"/>
    <w:p w14:paraId="53C31EB2" w14:textId="77777777" w:rsidR="0086323F" w:rsidRPr="00D06911" w:rsidRDefault="00964243" w:rsidP="00D06911">
      <w:pPr>
        <w:pStyle w:val="Paragraphedeliste"/>
        <w:numPr>
          <w:ilvl w:val="0"/>
          <w:numId w:val="34"/>
        </w:numPr>
        <w:spacing w:after="80"/>
        <w:jc w:val="both"/>
        <w:rPr>
          <w:rFonts w:asciiTheme="minorHAnsi" w:hAnsiTheme="minorHAnsi" w:cstheme="minorHAnsi"/>
        </w:rPr>
      </w:pPr>
      <w:r w:rsidRPr="00D06911">
        <w:rPr>
          <w:rFonts w:asciiTheme="minorHAnsi" w:hAnsiTheme="minorHAnsi" w:cstheme="minorHAnsi"/>
        </w:rPr>
        <w:t>Annexes DSIO (3) – Charte SI, Annexe CCTP SSI, Support Annexe CCTP SSI ;</w:t>
      </w:r>
    </w:p>
    <w:p w14:paraId="7F7D6A1A" w14:textId="50F7A482" w:rsidR="0086323F" w:rsidRPr="00206109" w:rsidRDefault="0086323F" w:rsidP="00E71D07">
      <w:pPr>
        <w:pStyle w:val="Paragraphedeliste"/>
        <w:spacing w:after="80"/>
        <w:ind w:left="720"/>
        <w:jc w:val="both"/>
        <w:rPr>
          <w:rFonts w:asciiTheme="minorHAnsi" w:hAnsiTheme="minorHAnsi" w:cstheme="minorHAnsi"/>
        </w:rPr>
      </w:pPr>
    </w:p>
    <w:sectPr w:rsidR="0086323F" w:rsidRPr="00206109">
      <w:headerReference w:type="default" r:id="rId14"/>
      <w:footerReference w:type="default" r:id="rId15"/>
      <w:pgSz w:w="11906" w:h="16838"/>
      <w:pgMar w:top="1440" w:right="1300" w:bottom="1440"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F946" w14:textId="77777777" w:rsidR="00EF3D2B" w:rsidRDefault="00EF3D2B">
      <w:r>
        <w:separator/>
      </w:r>
    </w:p>
  </w:endnote>
  <w:endnote w:type="continuationSeparator" w:id="0">
    <w:p w14:paraId="5B31D7E1" w14:textId="77777777" w:rsidR="00EF3D2B" w:rsidRDefault="00EF3D2B">
      <w:r>
        <w:continuationSeparator/>
      </w:r>
    </w:p>
  </w:endnote>
  <w:endnote w:type="continuationNotice" w:id="1">
    <w:p w14:paraId="32C9C2F1" w14:textId="77777777" w:rsidR="00EF3D2B" w:rsidRDefault="00EF3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94B29" w14:textId="67C1DB9B" w:rsidR="00F458A1" w:rsidRDefault="00F458A1">
    <w:pPr>
      <w:jc w:val="center"/>
    </w:pPr>
    <w:r>
      <w:rPr>
        <w:color w:val="595959"/>
        <w:sz w:val="18"/>
        <w:szCs w:val="18"/>
      </w:rPr>
      <w:t xml:space="preserve">CHU de Toulouse –Page </w:t>
    </w:r>
    <w:r>
      <w:rPr>
        <w:color w:val="595959"/>
        <w:sz w:val="18"/>
        <w:szCs w:val="18"/>
      </w:rPr>
      <w:fldChar w:fldCharType="begin"/>
    </w:r>
    <w:r>
      <w:rPr>
        <w:color w:val="595959"/>
        <w:sz w:val="18"/>
        <w:szCs w:val="18"/>
      </w:rPr>
      <w:instrText>PAGE</w:instrText>
    </w:r>
    <w:r>
      <w:rPr>
        <w:color w:val="595959"/>
        <w:sz w:val="18"/>
        <w:szCs w:val="18"/>
      </w:rPr>
      <w:fldChar w:fldCharType="separate"/>
    </w:r>
    <w:r w:rsidR="00A07C3C">
      <w:rPr>
        <w:noProof/>
        <w:color w:val="595959"/>
        <w:sz w:val="18"/>
        <w:szCs w:val="18"/>
      </w:rPr>
      <w:t>20</w:t>
    </w:r>
    <w:r>
      <w:rPr>
        <w:color w:val="595959"/>
        <w:sz w:val="18"/>
        <w:szCs w:val="18"/>
      </w:rPr>
      <w:fldChar w:fldCharType="end"/>
    </w:r>
    <w:r>
      <w:rPr>
        <w:color w:val="595959"/>
        <w:sz w:val="18"/>
        <w:szCs w:val="18"/>
      </w:rPr>
      <w:t xml:space="preserve"> / </w:t>
    </w:r>
    <w:r>
      <w:rPr>
        <w:color w:val="595959"/>
        <w:sz w:val="18"/>
        <w:szCs w:val="18"/>
      </w:rPr>
      <w:fldChar w:fldCharType="begin"/>
    </w:r>
    <w:r>
      <w:rPr>
        <w:color w:val="595959"/>
        <w:sz w:val="18"/>
        <w:szCs w:val="18"/>
      </w:rPr>
      <w:instrText>NUMPAGES</w:instrText>
    </w:r>
    <w:r>
      <w:rPr>
        <w:color w:val="595959"/>
        <w:sz w:val="18"/>
        <w:szCs w:val="18"/>
      </w:rPr>
      <w:fldChar w:fldCharType="separate"/>
    </w:r>
    <w:r w:rsidR="00A07C3C">
      <w:rPr>
        <w:noProof/>
        <w:color w:val="595959"/>
        <w:sz w:val="18"/>
        <w:szCs w:val="18"/>
      </w:rPr>
      <w:t>20</w:t>
    </w:r>
    <w:r>
      <w:rPr>
        <w:color w:val="59595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332D" w14:textId="77777777" w:rsidR="00EF3D2B" w:rsidRDefault="00EF3D2B">
      <w:r>
        <w:separator/>
      </w:r>
    </w:p>
  </w:footnote>
  <w:footnote w:type="continuationSeparator" w:id="0">
    <w:p w14:paraId="31E3823B" w14:textId="77777777" w:rsidR="00EF3D2B" w:rsidRDefault="00EF3D2B">
      <w:r>
        <w:continuationSeparator/>
      </w:r>
    </w:p>
  </w:footnote>
  <w:footnote w:type="continuationNotice" w:id="1">
    <w:p w14:paraId="4980BD9F" w14:textId="77777777" w:rsidR="00EF3D2B" w:rsidRDefault="00EF3D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01C30" w14:textId="0AD4791A" w:rsidR="00F458A1" w:rsidRDefault="00F458A1">
    <w:pPr>
      <w:jc w:val="right"/>
    </w:pPr>
    <w:r>
      <w:rPr>
        <w:i/>
        <w:iCs/>
        <w:color w:val="595959"/>
        <w:sz w:val="18"/>
        <w:szCs w:val="18"/>
      </w:rPr>
      <w:t>CCTP – AO Gazométrie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5FA"/>
    <w:multiLevelType w:val="multilevel"/>
    <w:tmpl w:val="60BE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07E1B"/>
    <w:multiLevelType w:val="multilevel"/>
    <w:tmpl w:val="5356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C5C18"/>
    <w:multiLevelType w:val="multilevel"/>
    <w:tmpl w:val="BA9C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B52E0"/>
    <w:multiLevelType w:val="multilevel"/>
    <w:tmpl w:val="2AF4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D0CA6"/>
    <w:multiLevelType w:val="multilevel"/>
    <w:tmpl w:val="DC92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31B6E"/>
    <w:multiLevelType w:val="hybridMultilevel"/>
    <w:tmpl w:val="F35EE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07667B"/>
    <w:multiLevelType w:val="multilevel"/>
    <w:tmpl w:val="864C8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B51911"/>
    <w:multiLevelType w:val="multilevel"/>
    <w:tmpl w:val="A228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237AF5"/>
    <w:multiLevelType w:val="hybridMultilevel"/>
    <w:tmpl w:val="92F066BA"/>
    <w:lvl w:ilvl="0" w:tplc="472E1194">
      <w:start w:val="1"/>
      <w:numFmt w:val="bullet"/>
      <w:lvlText w:val="•"/>
      <w:lvlJc w:val="left"/>
      <w:pPr>
        <w:ind w:left="460" w:hanging="280"/>
      </w:pPr>
    </w:lvl>
    <w:lvl w:ilvl="1" w:tplc="BF3E46E0">
      <w:numFmt w:val="decimal"/>
      <w:lvlText w:val=""/>
      <w:lvlJc w:val="left"/>
    </w:lvl>
    <w:lvl w:ilvl="2" w:tplc="9522B5C2">
      <w:numFmt w:val="decimal"/>
      <w:lvlText w:val=""/>
      <w:lvlJc w:val="left"/>
    </w:lvl>
    <w:lvl w:ilvl="3" w:tplc="5BA2C82E">
      <w:numFmt w:val="decimal"/>
      <w:lvlText w:val=""/>
      <w:lvlJc w:val="left"/>
    </w:lvl>
    <w:lvl w:ilvl="4" w:tplc="0FDA6240">
      <w:numFmt w:val="decimal"/>
      <w:lvlText w:val=""/>
      <w:lvlJc w:val="left"/>
    </w:lvl>
    <w:lvl w:ilvl="5" w:tplc="AB2C49E0">
      <w:numFmt w:val="decimal"/>
      <w:lvlText w:val=""/>
      <w:lvlJc w:val="left"/>
    </w:lvl>
    <w:lvl w:ilvl="6" w:tplc="75884228">
      <w:numFmt w:val="decimal"/>
      <w:lvlText w:val=""/>
      <w:lvlJc w:val="left"/>
    </w:lvl>
    <w:lvl w:ilvl="7" w:tplc="63FC5AA2">
      <w:numFmt w:val="decimal"/>
      <w:lvlText w:val=""/>
      <w:lvlJc w:val="left"/>
    </w:lvl>
    <w:lvl w:ilvl="8" w:tplc="91448A9E">
      <w:numFmt w:val="decimal"/>
      <w:lvlText w:val=""/>
      <w:lvlJc w:val="left"/>
    </w:lvl>
  </w:abstractNum>
  <w:abstractNum w:abstractNumId="9" w15:restartNumberingAfterBreak="0">
    <w:nsid w:val="2E60523D"/>
    <w:multiLevelType w:val="multilevel"/>
    <w:tmpl w:val="8370F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203CB1"/>
    <w:multiLevelType w:val="hybridMultilevel"/>
    <w:tmpl w:val="3EBC37C4"/>
    <w:lvl w:ilvl="0" w:tplc="B366BEA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64B0B3C"/>
    <w:multiLevelType w:val="multilevel"/>
    <w:tmpl w:val="521C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725F67"/>
    <w:multiLevelType w:val="multilevel"/>
    <w:tmpl w:val="9304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9B405B"/>
    <w:multiLevelType w:val="multilevel"/>
    <w:tmpl w:val="3940A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76533F"/>
    <w:multiLevelType w:val="multilevel"/>
    <w:tmpl w:val="A68A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8A147A"/>
    <w:multiLevelType w:val="multilevel"/>
    <w:tmpl w:val="8494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42E2A"/>
    <w:multiLevelType w:val="hybridMultilevel"/>
    <w:tmpl w:val="27F66964"/>
    <w:lvl w:ilvl="0" w:tplc="EF729BC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584FD0"/>
    <w:multiLevelType w:val="hybridMultilevel"/>
    <w:tmpl w:val="3F6CA50A"/>
    <w:lvl w:ilvl="0" w:tplc="082CCA10">
      <w:start w:val="1"/>
      <w:numFmt w:val="bullet"/>
      <w:lvlText w:val="•"/>
      <w:lvlJc w:val="left"/>
      <w:pPr>
        <w:ind w:left="460" w:hanging="280"/>
      </w:pPr>
    </w:lvl>
    <w:lvl w:ilvl="1" w:tplc="7E667360">
      <w:numFmt w:val="decimal"/>
      <w:lvlText w:val=""/>
      <w:lvlJc w:val="left"/>
    </w:lvl>
    <w:lvl w:ilvl="2" w:tplc="97E83E34">
      <w:numFmt w:val="decimal"/>
      <w:lvlText w:val=""/>
      <w:lvlJc w:val="left"/>
    </w:lvl>
    <w:lvl w:ilvl="3" w:tplc="ABC4F600">
      <w:numFmt w:val="decimal"/>
      <w:lvlText w:val=""/>
      <w:lvlJc w:val="left"/>
    </w:lvl>
    <w:lvl w:ilvl="4" w:tplc="F3FEDEC6">
      <w:numFmt w:val="decimal"/>
      <w:lvlText w:val=""/>
      <w:lvlJc w:val="left"/>
    </w:lvl>
    <w:lvl w:ilvl="5" w:tplc="D7DE1604">
      <w:numFmt w:val="decimal"/>
      <w:lvlText w:val=""/>
      <w:lvlJc w:val="left"/>
    </w:lvl>
    <w:lvl w:ilvl="6" w:tplc="E326E418">
      <w:numFmt w:val="decimal"/>
      <w:lvlText w:val=""/>
      <w:lvlJc w:val="left"/>
    </w:lvl>
    <w:lvl w:ilvl="7" w:tplc="134222E8">
      <w:numFmt w:val="decimal"/>
      <w:lvlText w:val=""/>
      <w:lvlJc w:val="left"/>
    </w:lvl>
    <w:lvl w:ilvl="8" w:tplc="6D82961C">
      <w:numFmt w:val="decimal"/>
      <w:lvlText w:val=""/>
      <w:lvlJc w:val="left"/>
    </w:lvl>
  </w:abstractNum>
  <w:abstractNum w:abstractNumId="18" w15:restartNumberingAfterBreak="0">
    <w:nsid w:val="50713BF3"/>
    <w:multiLevelType w:val="multilevel"/>
    <w:tmpl w:val="11CE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B536D6"/>
    <w:multiLevelType w:val="multilevel"/>
    <w:tmpl w:val="CA34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664BCE"/>
    <w:multiLevelType w:val="multilevel"/>
    <w:tmpl w:val="B3AC7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5523C9"/>
    <w:multiLevelType w:val="hybridMultilevel"/>
    <w:tmpl w:val="2D80D3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6953F3"/>
    <w:multiLevelType w:val="multilevel"/>
    <w:tmpl w:val="A176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8C0C9C"/>
    <w:multiLevelType w:val="multilevel"/>
    <w:tmpl w:val="C14E7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F84B1E"/>
    <w:multiLevelType w:val="multilevel"/>
    <w:tmpl w:val="197A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23FA8"/>
    <w:multiLevelType w:val="multilevel"/>
    <w:tmpl w:val="8228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C1298C"/>
    <w:multiLevelType w:val="hybridMultilevel"/>
    <w:tmpl w:val="3C7A9F26"/>
    <w:lvl w:ilvl="0" w:tplc="E8ACB238">
      <w:start w:val="1"/>
      <w:numFmt w:val="bullet"/>
      <w:lvlText w:val="●"/>
      <w:lvlJc w:val="left"/>
      <w:pPr>
        <w:ind w:left="720" w:hanging="360"/>
      </w:pPr>
    </w:lvl>
    <w:lvl w:ilvl="1" w:tplc="9EC8E654">
      <w:start w:val="1"/>
      <w:numFmt w:val="bullet"/>
      <w:lvlText w:val="○"/>
      <w:lvlJc w:val="left"/>
      <w:pPr>
        <w:ind w:left="1440" w:hanging="360"/>
      </w:pPr>
    </w:lvl>
    <w:lvl w:ilvl="2" w:tplc="D4E6F464">
      <w:start w:val="1"/>
      <w:numFmt w:val="bullet"/>
      <w:lvlText w:val="■"/>
      <w:lvlJc w:val="left"/>
      <w:pPr>
        <w:ind w:left="2160" w:hanging="360"/>
      </w:pPr>
    </w:lvl>
    <w:lvl w:ilvl="3" w:tplc="29867FB0">
      <w:start w:val="1"/>
      <w:numFmt w:val="bullet"/>
      <w:lvlText w:val="●"/>
      <w:lvlJc w:val="left"/>
      <w:pPr>
        <w:ind w:left="2880" w:hanging="360"/>
      </w:pPr>
    </w:lvl>
    <w:lvl w:ilvl="4" w:tplc="DFB4B9BC">
      <w:start w:val="1"/>
      <w:numFmt w:val="bullet"/>
      <w:lvlText w:val="○"/>
      <w:lvlJc w:val="left"/>
      <w:pPr>
        <w:ind w:left="3600" w:hanging="360"/>
      </w:pPr>
    </w:lvl>
    <w:lvl w:ilvl="5" w:tplc="D0861DC4">
      <w:start w:val="1"/>
      <w:numFmt w:val="bullet"/>
      <w:lvlText w:val="■"/>
      <w:lvlJc w:val="left"/>
      <w:pPr>
        <w:ind w:left="4320" w:hanging="360"/>
      </w:pPr>
    </w:lvl>
    <w:lvl w:ilvl="6" w:tplc="3B5220DA">
      <w:start w:val="1"/>
      <w:numFmt w:val="bullet"/>
      <w:lvlText w:val="●"/>
      <w:lvlJc w:val="left"/>
      <w:pPr>
        <w:ind w:left="5040" w:hanging="360"/>
      </w:pPr>
    </w:lvl>
    <w:lvl w:ilvl="7" w:tplc="B292055E">
      <w:start w:val="1"/>
      <w:numFmt w:val="bullet"/>
      <w:lvlText w:val="●"/>
      <w:lvlJc w:val="left"/>
      <w:pPr>
        <w:ind w:left="5760" w:hanging="360"/>
      </w:pPr>
    </w:lvl>
    <w:lvl w:ilvl="8" w:tplc="41BC2998">
      <w:start w:val="1"/>
      <w:numFmt w:val="bullet"/>
      <w:lvlText w:val="●"/>
      <w:lvlJc w:val="left"/>
      <w:pPr>
        <w:ind w:left="6480" w:hanging="360"/>
      </w:pPr>
    </w:lvl>
  </w:abstractNum>
  <w:abstractNum w:abstractNumId="27" w15:restartNumberingAfterBreak="0">
    <w:nsid w:val="6E475994"/>
    <w:multiLevelType w:val="hybridMultilevel"/>
    <w:tmpl w:val="AE5C70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6B4196"/>
    <w:multiLevelType w:val="hybridMultilevel"/>
    <w:tmpl w:val="95EAC8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291BEE"/>
    <w:multiLevelType w:val="hybridMultilevel"/>
    <w:tmpl w:val="031802CA"/>
    <w:lvl w:ilvl="0" w:tplc="8876B610">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AA0918"/>
    <w:multiLevelType w:val="multilevel"/>
    <w:tmpl w:val="09E63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0D42D8"/>
    <w:multiLevelType w:val="multilevel"/>
    <w:tmpl w:val="22BE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625C01"/>
    <w:multiLevelType w:val="hybridMultilevel"/>
    <w:tmpl w:val="BE8EE7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571782"/>
    <w:multiLevelType w:val="hybridMultilevel"/>
    <w:tmpl w:val="2E9A4250"/>
    <w:lvl w:ilvl="0" w:tplc="42EE1C3A">
      <w:start w:val="1"/>
      <w:numFmt w:val="bullet"/>
      <w:lvlText w:val="•"/>
      <w:lvlJc w:val="left"/>
      <w:pPr>
        <w:ind w:left="720" w:hanging="360"/>
      </w:pPr>
    </w:lvl>
    <w:lvl w:ilvl="1" w:tplc="27542154">
      <w:start w:val="1"/>
      <w:numFmt w:val="bullet"/>
      <w:lvlText w:val="◦"/>
      <w:lvlJc w:val="left"/>
      <w:pPr>
        <w:ind w:left="1440" w:hanging="360"/>
      </w:pPr>
    </w:lvl>
    <w:lvl w:ilvl="2" w:tplc="1E82D008">
      <w:numFmt w:val="decimal"/>
      <w:lvlText w:val=""/>
      <w:lvlJc w:val="left"/>
    </w:lvl>
    <w:lvl w:ilvl="3" w:tplc="3FC00E9A">
      <w:numFmt w:val="decimal"/>
      <w:lvlText w:val=""/>
      <w:lvlJc w:val="left"/>
    </w:lvl>
    <w:lvl w:ilvl="4" w:tplc="91FE331E">
      <w:numFmt w:val="decimal"/>
      <w:lvlText w:val=""/>
      <w:lvlJc w:val="left"/>
    </w:lvl>
    <w:lvl w:ilvl="5" w:tplc="6D2A3FA6">
      <w:numFmt w:val="decimal"/>
      <w:lvlText w:val=""/>
      <w:lvlJc w:val="left"/>
    </w:lvl>
    <w:lvl w:ilvl="6" w:tplc="26527838">
      <w:numFmt w:val="decimal"/>
      <w:lvlText w:val=""/>
      <w:lvlJc w:val="left"/>
    </w:lvl>
    <w:lvl w:ilvl="7" w:tplc="8BB4FE10">
      <w:numFmt w:val="decimal"/>
      <w:lvlText w:val=""/>
      <w:lvlJc w:val="left"/>
    </w:lvl>
    <w:lvl w:ilvl="8" w:tplc="47AAAF88">
      <w:numFmt w:val="decimal"/>
      <w:lvlText w:val=""/>
      <w:lvlJc w:val="left"/>
    </w:lvl>
  </w:abstractNum>
  <w:num w:numId="1">
    <w:abstractNumId w:val="26"/>
    <w:lvlOverride w:ilvl="0">
      <w:startOverride w:val="1"/>
    </w:lvlOverride>
  </w:num>
  <w:num w:numId="2">
    <w:abstractNumId w:val="33"/>
    <w:lvlOverride w:ilvl="0">
      <w:startOverride w:val="1"/>
    </w:lvlOverride>
  </w:num>
  <w:num w:numId="3">
    <w:abstractNumId w:val="22"/>
  </w:num>
  <w:num w:numId="4">
    <w:abstractNumId w:val="2"/>
  </w:num>
  <w:num w:numId="5">
    <w:abstractNumId w:val="16"/>
  </w:num>
  <w:num w:numId="6">
    <w:abstractNumId w:val="12"/>
  </w:num>
  <w:num w:numId="7">
    <w:abstractNumId w:val="6"/>
  </w:num>
  <w:num w:numId="8">
    <w:abstractNumId w:val="13"/>
  </w:num>
  <w:num w:numId="9">
    <w:abstractNumId w:val="15"/>
  </w:num>
  <w:num w:numId="10">
    <w:abstractNumId w:val="31"/>
  </w:num>
  <w:num w:numId="11">
    <w:abstractNumId w:val="20"/>
  </w:num>
  <w:num w:numId="12">
    <w:abstractNumId w:val="9"/>
  </w:num>
  <w:num w:numId="13">
    <w:abstractNumId w:val="19"/>
  </w:num>
  <w:num w:numId="14">
    <w:abstractNumId w:val="1"/>
  </w:num>
  <w:num w:numId="15">
    <w:abstractNumId w:val="23"/>
  </w:num>
  <w:num w:numId="16">
    <w:abstractNumId w:val="7"/>
  </w:num>
  <w:num w:numId="17">
    <w:abstractNumId w:val="29"/>
  </w:num>
  <w:num w:numId="18">
    <w:abstractNumId w:val="10"/>
  </w:num>
  <w:num w:numId="19">
    <w:abstractNumId w:val="5"/>
  </w:num>
  <w:num w:numId="20">
    <w:abstractNumId w:val="30"/>
  </w:num>
  <w:num w:numId="21">
    <w:abstractNumId w:val="18"/>
  </w:num>
  <w:num w:numId="22">
    <w:abstractNumId w:val="25"/>
  </w:num>
  <w:num w:numId="23">
    <w:abstractNumId w:val="21"/>
  </w:num>
  <w:num w:numId="24">
    <w:abstractNumId w:val="0"/>
  </w:num>
  <w:num w:numId="25">
    <w:abstractNumId w:val="24"/>
  </w:num>
  <w:num w:numId="26">
    <w:abstractNumId w:val="11"/>
  </w:num>
  <w:num w:numId="27">
    <w:abstractNumId w:val="3"/>
  </w:num>
  <w:num w:numId="28">
    <w:abstractNumId w:val="4"/>
  </w:num>
  <w:num w:numId="29">
    <w:abstractNumId w:val="14"/>
  </w:num>
  <w:num w:numId="30">
    <w:abstractNumId w:val="17"/>
    <w:lvlOverride w:ilvl="0">
      <w:startOverride w:val="1"/>
    </w:lvlOverride>
  </w:num>
  <w:num w:numId="31">
    <w:abstractNumId w:val="8"/>
    <w:lvlOverride w:ilvl="0">
      <w:startOverride w:val="1"/>
    </w:lvlOverride>
  </w:num>
  <w:num w:numId="32">
    <w:abstractNumId w:val="27"/>
  </w:num>
  <w:num w:numId="33">
    <w:abstractNumId w:val="28"/>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23F"/>
    <w:rsid w:val="0001647C"/>
    <w:rsid w:val="000349E4"/>
    <w:rsid w:val="00034D1B"/>
    <w:rsid w:val="00045698"/>
    <w:rsid w:val="000A0269"/>
    <w:rsid w:val="000C1129"/>
    <w:rsid w:val="000D73E1"/>
    <w:rsid w:val="001533DF"/>
    <w:rsid w:val="00172CEE"/>
    <w:rsid w:val="00205AA2"/>
    <w:rsid w:val="00206109"/>
    <w:rsid w:val="0028008D"/>
    <w:rsid w:val="00292227"/>
    <w:rsid w:val="002A52F1"/>
    <w:rsid w:val="002D6031"/>
    <w:rsid w:val="002E5DE7"/>
    <w:rsid w:val="00303473"/>
    <w:rsid w:val="00316C42"/>
    <w:rsid w:val="00331A9C"/>
    <w:rsid w:val="003506AE"/>
    <w:rsid w:val="00352778"/>
    <w:rsid w:val="00375240"/>
    <w:rsid w:val="00377C31"/>
    <w:rsid w:val="00394A0E"/>
    <w:rsid w:val="003A0189"/>
    <w:rsid w:val="003A1680"/>
    <w:rsid w:val="003A6AFC"/>
    <w:rsid w:val="003B25BD"/>
    <w:rsid w:val="003C0A8C"/>
    <w:rsid w:val="003C4BBB"/>
    <w:rsid w:val="003D0F32"/>
    <w:rsid w:val="003E34AF"/>
    <w:rsid w:val="003F651B"/>
    <w:rsid w:val="0043508C"/>
    <w:rsid w:val="00446CBC"/>
    <w:rsid w:val="00472792"/>
    <w:rsid w:val="004C0525"/>
    <w:rsid w:val="004D0ED9"/>
    <w:rsid w:val="004D56CA"/>
    <w:rsid w:val="0053350A"/>
    <w:rsid w:val="0054444D"/>
    <w:rsid w:val="00595FBE"/>
    <w:rsid w:val="00596930"/>
    <w:rsid w:val="005C40FC"/>
    <w:rsid w:val="005E4D5C"/>
    <w:rsid w:val="00603264"/>
    <w:rsid w:val="006354F5"/>
    <w:rsid w:val="006547BC"/>
    <w:rsid w:val="00677677"/>
    <w:rsid w:val="00684439"/>
    <w:rsid w:val="006B68DE"/>
    <w:rsid w:val="006D5A6D"/>
    <w:rsid w:val="00730953"/>
    <w:rsid w:val="00733E90"/>
    <w:rsid w:val="00736876"/>
    <w:rsid w:val="00737B34"/>
    <w:rsid w:val="0075418C"/>
    <w:rsid w:val="00754FE3"/>
    <w:rsid w:val="007A1033"/>
    <w:rsid w:val="007C341D"/>
    <w:rsid w:val="007E0F47"/>
    <w:rsid w:val="00810066"/>
    <w:rsid w:val="008143D9"/>
    <w:rsid w:val="00820C89"/>
    <w:rsid w:val="00840324"/>
    <w:rsid w:val="008566D9"/>
    <w:rsid w:val="00857AA2"/>
    <w:rsid w:val="00862AE3"/>
    <w:rsid w:val="0086323F"/>
    <w:rsid w:val="00863AD2"/>
    <w:rsid w:val="008978AD"/>
    <w:rsid w:val="008C0683"/>
    <w:rsid w:val="008C4EC8"/>
    <w:rsid w:val="008F1FA8"/>
    <w:rsid w:val="00903DE5"/>
    <w:rsid w:val="00912EF3"/>
    <w:rsid w:val="00944F65"/>
    <w:rsid w:val="00945C4A"/>
    <w:rsid w:val="0094756D"/>
    <w:rsid w:val="00957841"/>
    <w:rsid w:val="00964243"/>
    <w:rsid w:val="00965DAC"/>
    <w:rsid w:val="009665B9"/>
    <w:rsid w:val="00973A9B"/>
    <w:rsid w:val="0098766D"/>
    <w:rsid w:val="00994F8D"/>
    <w:rsid w:val="009A649C"/>
    <w:rsid w:val="009A659F"/>
    <w:rsid w:val="009B7E94"/>
    <w:rsid w:val="009D557B"/>
    <w:rsid w:val="009D6930"/>
    <w:rsid w:val="009D740C"/>
    <w:rsid w:val="00A00081"/>
    <w:rsid w:val="00A07C3C"/>
    <w:rsid w:val="00A14957"/>
    <w:rsid w:val="00A36D9D"/>
    <w:rsid w:val="00A44E79"/>
    <w:rsid w:val="00A5006A"/>
    <w:rsid w:val="00A5165C"/>
    <w:rsid w:val="00A55423"/>
    <w:rsid w:val="00A83D99"/>
    <w:rsid w:val="00AA53E1"/>
    <w:rsid w:val="00AA7CC5"/>
    <w:rsid w:val="00AF0D7C"/>
    <w:rsid w:val="00AF3D42"/>
    <w:rsid w:val="00B01E1C"/>
    <w:rsid w:val="00B07DC5"/>
    <w:rsid w:val="00B24DF2"/>
    <w:rsid w:val="00B268FA"/>
    <w:rsid w:val="00B27813"/>
    <w:rsid w:val="00B35938"/>
    <w:rsid w:val="00B35FC3"/>
    <w:rsid w:val="00B45939"/>
    <w:rsid w:val="00B46640"/>
    <w:rsid w:val="00B74D3E"/>
    <w:rsid w:val="00B820F0"/>
    <w:rsid w:val="00B857D9"/>
    <w:rsid w:val="00B95B2A"/>
    <w:rsid w:val="00BB4A1C"/>
    <w:rsid w:val="00BB4C5A"/>
    <w:rsid w:val="00BB65E3"/>
    <w:rsid w:val="00BC57D5"/>
    <w:rsid w:val="00BD5B09"/>
    <w:rsid w:val="00C036DA"/>
    <w:rsid w:val="00C1613C"/>
    <w:rsid w:val="00C713EC"/>
    <w:rsid w:val="00C7264B"/>
    <w:rsid w:val="00CC3392"/>
    <w:rsid w:val="00CC4D04"/>
    <w:rsid w:val="00CD4C35"/>
    <w:rsid w:val="00CE36EB"/>
    <w:rsid w:val="00CE38F0"/>
    <w:rsid w:val="00CE497C"/>
    <w:rsid w:val="00D06911"/>
    <w:rsid w:val="00D104D8"/>
    <w:rsid w:val="00D57C1D"/>
    <w:rsid w:val="00D65847"/>
    <w:rsid w:val="00DB7B0B"/>
    <w:rsid w:val="00DC10EF"/>
    <w:rsid w:val="00DD5E08"/>
    <w:rsid w:val="00DE1EC3"/>
    <w:rsid w:val="00DE3036"/>
    <w:rsid w:val="00DE377B"/>
    <w:rsid w:val="00E1100C"/>
    <w:rsid w:val="00E20676"/>
    <w:rsid w:val="00E306D6"/>
    <w:rsid w:val="00E444D8"/>
    <w:rsid w:val="00E71D07"/>
    <w:rsid w:val="00E775AA"/>
    <w:rsid w:val="00E83D52"/>
    <w:rsid w:val="00E866A5"/>
    <w:rsid w:val="00E87F6D"/>
    <w:rsid w:val="00E93497"/>
    <w:rsid w:val="00EA1BE8"/>
    <w:rsid w:val="00EE3EE7"/>
    <w:rsid w:val="00EF3553"/>
    <w:rsid w:val="00EF3D2B"/>
    <w:rsid w:val="00F00BB7"/>
    <w:rsid w:val="00F14BDF"/>
    <w:rsid w:val="00F2658E"/>
    <w:rsid w:val="00F42395"/>
    <w:rsid w:val="00F458A1"/>
    <w:rsid w:val="00F53D08"/>
    <w:rsid w:val="00F71A65"/>
    <w:rsid w:val="00F83DF4"/>
    <w:rsid w:val="00F91310"/>
    <w:rsid w:val="00FE7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4D0AE"/>
  <w15:docId w15:val="{3C95D512-651C-401C-B3CA-0C3525EF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200"/>
      <w:outlineLvl w:val="0"/>
    </w:pPr>
    <w:rPr>
      <w:b/>
      <w:bCs/>
      <w:color w:val="1F4E79"/>
      <w:sz w:val="32"/>
      <w:szCs w:val="32"/>
    </w:rPr>
  </w:style>
  <w:style w:type="paragraph" w:styleId="Titre2">
    <w:name w:val="heading 2"/>
    <w:uiPriority w:val="9"/>
    <w:unhideWhenUsed/>
    <w:qFormat/>
    <w:pPr>
      <w:spacing w:before="280" w:after="140"/>
      <w:outlineLvl w:val="1"/>
    </w:pPr>
    <w:rPr>
      <w:b/>
      <w:bCs/>
      <w:color w:val="1F4E79"/>
      <w:sz w:val="26"/>
      <w:szCs w:val="26"/>
    </w:rPr>
  </w:style>
  <w:style w:type="paragraph" w:styleId="Titre3">
    <w:name w:val="heading 3"/>
    <w:uiPriority w:val="9"/>
    <w:unhideWhenUsed/>
    <w:qFormat/>
    <w:pPr>
      <w:spacing w:before="200" w:after="120"/>
      <w:outlineLvl w:val="2"/>
    </w:pPr>
    <w:rPr>
      <w:b/>
      <w:bCs/>
      <w:color w:val="595959"/>
      <w:sz w:val="23"/>
      <w:szCs w:val="23"/>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uiPriority w:val="34"/>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TM1">
    <w:name w:val="toc 1"/>
    <w:basedOn w:val="Normal"/>
    <w:next w:val="Normal"/>
    <w:autoRedefine/>
    <w:uiPriority w:val="39"/>
    <w:unhideWhenUsed/>
    <w:rsid w:val="00DE1EC3"/>
    <w:pPr>
      <w:spacing w:after="100"/>
    </w:pPr>
  </w:style>
  <w:style w:type="paragraph" w:styleId="TM2">
    <w:name w:val="toc 2"/>
    <w:basedOn w:val="Normal"/>
    <w:next w:val="Normal"/>
    <w:autoRedefine/>
    <w:uiPriority w:val="39"/>
    <w:unhideWhenUsed/>
    <w:rsid w:val="00DE1EC3"/>
    <w:pPr>
      <w:spacing w:after="100"/>
      <w:ind w:left="220"/>
    </w:pPr>
  </w:style>
  <w:style w:type="paragraph" w:styleId="TM3">
    <w:name w:val="toc 3"/>
    <w:basedOn w:val="Normal"/>
    <w:next w:val="Normal"/>
    <w:autoRedefine/>
    <w:uiPriority w:val="39"/>
    <w:unhideWhenUsed/>
    <w:rsid w:val="00DE1EC3"/>
    <w:pPr>
      <w:spacing w:after="100"/>
      <w:ind w:left="440"/>
    </w:pPr>
  </w:style>
  <w:style w:type="paragraph" w:styleId="En-tte">
    <w:name w:val="header"/>
    <w:basedOn w:val="Normal"/>
    <w:link w:val="En-tteCar"/>
    <w:uiPriority w:val="99"/>
    <w:unhideWhenUsed/>
    <w:rsid w:val="00DE1EC3"/>
    <w:pPr>
      <w:tabs>
        <w:tab w:val="center" w:pos="4536"/>
        <w:tab w:val="right" w:pos="9072"/>
      </w:tabs>
    </w:pPr>
  </w:style>
  <w:style w:type="character" w:customStyle="1" w:styleId="En-tteCar">
    <w:name w:val="En-tête Car"/>
    <w:basedOn w:val="Policepardfaut"/>
    <w:link w:val="En-tte"/>
    <w:uiPriority w:val="99"/>
    <w:rsid w:val="00DE1EC3"/>
  </w:style>
  <w:style w:type="paragraph" w:styleId="Pieddepage">
    <w:name w:val="footer"/>
    <w:basedOn w:val="Normal"/>
    <w:link w:val="PieddepageCar"/>
    <w:uiPriority w:val="99"/>
    <w:unhideWhenUsed/>
    <w:rsid w:val="00DE1EC3"/>
    <w:pPr>
      <w:tabs>
        <w:tab w:val="center" w:pos="4536"/>
        <w:tab w:val="right" w:pos="9072"/>
      </w:tabs>
    </w:pPr>
  </w:style>
  <w:style w:type="character" w:customStyle="1" w:styleId="PieddepageCar">
    <w:name w:val="Pied de page Car"/>
    <w:basedOn w:val="Policepardfaut"/>
    <w:link w:val="Pieddepage"/>
    <w:uiPriority w:val="99"/>
    <w:rsid w:val="00DE1EC3"/>
  </w:style>
  <w:style w:type="character" w:styleId="Marquedecommentaire">
    <w:name w:val="annotation reference"/>
    <w:basedOn w:val="Policepardfaut"/>
    <w:uiPriority w:val="99"/>
    <w:semiHidden/>
    <w:unhideWhenUsed/>
    <w:rsid w:val="0001647C"/>
    <w:rPr>
      <w:sz w:val="16"/>
      <w:szCs w:val="16"/>
    </w:rPr>
  </w:style>
  <w:style w:type="paragraph" w:styleId="Commentaire">
    <w:name w:val="annotation text"/>
    <w:basedOn w:val="Normal"/>
    <w:link w:val="CommentaireCar"/>
    <w:uiPriority w:val="99"/>
    <w:semiHidden/>
    <w:unhideWhenUsed/>
    <w:rsid w:val="0001647C"/>
    <w:rPr>
      <w:sz w:val="20"/>
      <w:szCs w:val="20"/>
    </w:rPr>
  </w:style>
  <w:style w:type="character" w:customStyle="1" w:styleId="CommentaireCar">
    <w:name w:val="Commentaire Car"/>
    <w:basedOn w:val="Policepardfaut"/>
    <w:link w:val="Commentaire"/>
    <w:uiPriority w:val="99"/>
    <w:semiHidden/>
    <w:rsid w:val="0001647C"/>
    <w:rPr>
      <w:sz w:val="20"/>
      <w:szCs w:val="20"/>
    </w:rPr>
  </w:style>
  <w:style w:type="paragraph" w:styleId="Objetducommentaire">
    <w:name w:val="annotation subject"/>
    <w:basedOn w:val="Commentaire"/>
    <w:next w:val="Commentaire"/>
    <w:link w:val="ObjetducommentaireCar"/>
    <w:uiPriority w:val="99"/>
    <w:semiHidden/>
    <w:unhideWhenUsed/>
    <w:rsid w:val="0001647C"/>
    <w:rPr>
      <w:b/>
      <w:bCs/>
    </w:rPr>
  </w:style>
  <w:style w:type="character" w:customStyle="1" w:styleId="ObjetducommentaireCar">
    <w:name w:val="Objet du commentaire Car"/>
    <w:basedOn w:val="CommentaireCar"/>
    <w:link w:val="Objetducommentaire"/>
    <w:uiPriority w:val="99"/>
    <w:semiHidden/>
    <w:rsid w:val="0001647C"/>
    <w:rPr>
      <w:b/>
      <w:bCs/>
      <w:sz w:val="20"/>
      <w:szCs w:val="20"/>
    </w:rPr>
  </w:style>
  <w:style w:type="character" w:customStyle="1" w:styleId="Mentionnonrsolue1">
    <w:name w:val="Mention non résolue1"/>
    <w:basedOn w:val="Policepardfaut"/>
    <w:uiPriority w:val="99"/>
    <w:semiHidden/>
    <w:unhideWhenUsed/>
    <w:rsid w:val="009D6930"/>
    <w:rPr>
      <w:color w:val="605E5C"/>
      <w:shd w:val="clear" w:color="auto" w:fill="E1DFDD"/>
    </w:rPr>
  </w:style>
  <w:style w:type="character" w:styleId="lev">
    <w:name w:val="Strong"/>
    <w:basedOn w:val="Policepardfaut"/>
    <w:uiPriority w:val="22"/>
    <w:qFormat/>
    <w:rsid w:val="00DC10EF"/>
    <w:rPr>
      <w:b/>
      <w:bCs/>
    </w:rPr>
  </w:style>
  <w:style w:type="paragraph" w:customStyle="1" w:styleId="font-claude-response-body">
    <w:name w:val="font-claude-response-body"/>
    <w:basedOn w:val="Normal"/>
    <w:rsid w:val="00DC10EF"/>
    <w:pPr>
      <w:spacing w:before="100" w:beforeAutospacing="1" w:after="100" w:afterAutospacing="1"/>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4D0ED9"/>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0ED9"/>
    <w:rPr>
      <w:rFonts w:ascii="Segoe UI" w:hAnsi="Segoe UI" w:cs="Segoe UI"/>
      <w:sz w:val="18"/>
      <w:szCs w:val="18"/>
    </w:rPr>
  </w:style>
  <w:style w:type="paragraph" w:styleId="NormalWeb">
    <w:name w:val="Normal (Web)"/>
    <w:basedOn w:val="Normal"/>
    <w:uiPriority w:val="99"/>
    <w:semiHidden/>
    <w:unhideWhenUsed/>
    <w:rsid w:val="004D0ED9"/>
    <w:pPr>
      <w:spacing w:before="100" w:beforeAutospacing="1" w:after="100" w:afterAutospacing="1"/>
    </w:pPr>
    <w:rPr>
      <w:rFonts w:ascii="Times New Roman" w:eastAsia="Times New Roman" w:hAnsi="Times New Roman" w:cs="Times New Roman"/>
      <w:sz w:val="24"/>
      <w:szCs w:val="24"/>
    </w:rPr>
  </w:style>
  <w:style w:type="paragraph" w:styleId="Rvision">
    <w:name w:val="Revision"/>
    <w:hidden/>
    <w:uiPriority w:val="99"/>
    <w:semiHidden/>
    <w:rsid w:val="00B268FA"/>
  </w:style>
  <w:style w:type="character" w:customStyle="1" w:styleId="Mentionnonrsolue2">
    <w:name w:val="Mention non résolue2"/>
    <w:basedOn w:val="Policepardfaut"/>
    <w:uiPriority w:val="99"/>
    <w:semiHidden/>
    <w:unhideWhenUsed/>
    <w:rsid w:val="00754FE3"/>
    <w:rPr>
      <w:color w:val="605E5C"/>
      <w:shd w:val="clear" w:color="auto" w:fill="E1DFDD"/>
    </w:rPr>
  </w:style>
  <w:style w:type="character" w:styleId="Accentuation">
    <w:name w:val="Emphasis"/>
    <w:basedOn w:val="Policepardfaut"/>
    <w:uiPriority w:val="20"/>
    <w:qFormat/>
    <w:rsid w:val="003A0189"/>
    <w:rPr>
      <w:i/>
      <w:iCs/>
    </w:rPr>
  </w:style>
  <w:style w:type="paragraph" w:styleId="Lgende">
    <w:name w:val="caption"/>
    <w:basedOn w:val="Normal"/>
    <w:next w:val="Normal"/>
    <w:uiPriority w:val="35"/>
    <w:unhideWhenUsed/>
    <w:qFormat/>
    <w:rsid w:val="0020610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80435">
      <w:bodyDiv w:val="1"/>
      <w:marLeft w:val="0"/>
      <w:marRight w:val="0"/>
      <w:marTop w:val="0"/>
      <w:marBottom w:val="0"/>
      <w:divBdr>
        <w:top w:val="none" w:sz="0" w:space="0" w:color="auto"/>
        <w:left w:val="none" w:sz="0" w:space="0" w:color="auto"/>
        <w:bottom w:val="none" w:sz="0" w:space="0" w:color="auto"/>
        <w:right w:val="none" w:sz="0" w:space="0" w:color="auto"/>
      </w:divBdr>
    </w:div>
    <w:div w:id="344677648">
      <w:bodyDiv w:val="1"/>
      <w:marLeft w:val="0"/>
      <w:marRight w:val="0"/>
      <w:marTop w:val="0"/>
      <w:marBottom w:val="0"/>
      <w:divBdr>
        <w:top w:val="none" w:sz="0" w:space="0" w:color="auto"/>
        <w:left w:val="none" w:sz="0" w:space="0" w:color="auto"/>
        <w:bottom w:val="none" w:sz="0" w:space="0" w:color="auto"/>
        <w:right w:val="none" w:sz="0" w:space="0" w:color="auto"/>
      </w:divBdr>
    </w:div>
    <w:div w:id="362562947">
      <w:bodyDiv w:val="1"/>
      <w:marLeft w:val="0"/>
      <w:marRight w:val="0"/>
      <w:marTop w:val="0"/>
      <w:marBottom w:val="0"/>
      <w:divBdr>
        <w:top w:val="none" w:sz="0" w:space="0" w:color="auto"/>
        <w:left w:val="none" w:sz="0" w:space="0" w:color="auto"/>
        <w:bottom w:val="none" w:sz="0" w:space="0" w:color="auto"/>
        <w:right w:val="none" w:sz="0" w:space="0" w:color="auto"/>
      </w:divBdr>
    </w:div>
    <w:div w:id="703866842">
      <w:bodyDiv w:val="1"/>
      <w:marLeft w:val="0"/>
      <w:marRight w:val="0"/>
      <w:marTop w:val="0"/>
      <w:marBottom w:val="0"/>
      <w:divBdr>
        <w:top w:val="none" w:sz="0" w:space="0" w:color="auto"/>
        <w:left w:val="none" w:sz="0" w:space="0" w:color="auto"/>
        <w:bottom w:val="none" w:sz="0" w:space="0" w:color="auto"/>
        <w:right w:val="none" w:sz="0" w:space="0" w:color="auto"/>
      </w:divBdr>
    </w:div>
    <w:div w:id="717127007">
      <w:bodyDiv w:val="1"/>
      <w:marLeft w:val="0"/>
      <w:marRight w:val="0"/>
      <w:marTop w:val="0"/>
      <w:marBottom w:val="0"/>
      <w:divBdr>
        <w:top w:val="none" w:sz="0" w:space="0" w:color="auto"/>
        <w:left w:val="none" w:sz="0" w:space="0" w:color="auto"/>
        <w:bottom w:val="none" w:sz="0" w:space="0" w:color="auto"/>
        <w:right w:val="none" w:sz="0" w:space="0" w:color="auto"/>
      </w:divBdr>
    </w:div>
    <w:div w:id="942032464">
      <w:bodyDiv w:val="1"/>
      <w:marLeft w:val="0"/>
      <w:marRight w:val="0"/>
      <w:marTop w:val="0"/>
      <w:marBottom w:val="0"/>
      <w:divBdr>
        <w:top w:val="none" w:sz="0" w:space="0" w:color="auto"/>
        <w:left w:val="none" w:sz="0" w:space="0" w:color="auto"/>
        <w:bottom w:val="none" w:sz="0" w:space="0" w:color="auto"/>
        <w:right w:val="none" w:sz="0" w:space="0" w:color="auto"/>
      </w:divBdr>
    </w:div>
    <w:div w:id="962345210">
      <w:bodyDiv w:val="1"/>
      <w:marLeft w:val="0"/>
      <w:marRight w:val="0"/>
      <w:marTop w:val="0"/>
      <w:marBottom w:val="0"/>
      <w:divBdr>
        <w:top w:val="none" w:sz="0" w:space="0" w:color="auto"/>
        <w:left w:val="none" w:sz="0" w:space="0" w:color="auto"/>
        <w:bottom w:val="none" w:sz="0" w:space="0" w:color="auto"/>
        <w:right w:val="none" w:sz="0" w:space="0" w:color="auto"/>
      </w:divBdr>
    </w:div>
    <w:div w:id="1009792547">
      <w:bodyDiv w:val="1"/>
      <w:marLeft w:val="0"/>
      <w:marRight w:val="0"/>
      <w:marTop w:val="0"/>
      <w:marBottom w:val="0"/>
      <w:divBdr>
        <w:top w:val="none" w:sz="0" w:space="0" w:color="auto"/>
        <w:left w:val="none" w:sz="0" w:space="0" w:color="auto"/>
        <w:bottom w:val="none" w:sz="0" w:space="0" w:color="auto"/>
        <w:right w:val="none" w:sz="0" w:space="0" w:color="auto"/>
      </w:divBdr>
    </w:div>
    <w:div w:id="1012608423">
      <w:bodyDiv w:val="1"/>
      <w:marLeft w:val="0"/>
      <w:marRight w:val="0"/>
      <w:marTop w:val="0"/>
      <w:marBottom w:val="0"/>
      <w:divBdr>
        <w:top w:val="none" w:sz="0" w:space="0" w:color="auto"/>
        <w:left w:val="none" w:sz="0" w:space="0" w:color="auto"/>
        <w:bottom w:val="none" w:sz="0" w:space="0" w:color="auto"/>
        <w:right w:val="none" w:sz="0" w:space="0" w:color="auto"/>
      </w:divBdr>
    </w:div>
    <w:div w:id="1097360166">
      <w:bodyDiv w:val="1"/>
      <w:marLeft w:val="0"/>
      <w:marRight w:val="0"/>
      <w:marTop w:val="0"/>
      <w:marBottom w:val="0"/>
      <w:divBdr>
        <w:top w:val="none" w:sz="0" w:space="0" w:color="auto"/>
        <w:left w:val="none" w:sz="0" w:space="0" w:color="auto"/>
        <w:bottom w:val="none" w:sz="0" w:space="0" w:color="auto"/>
        <w:right w:val="none" w:sz="0" w:space="0" w:color="auto"/>
      </w:divBdr>
    </w:div>
    <w:div w:id="1243682656">
      <w:bodyDiv w:val="1"/>
      <w:marLeft w:val="0"/>
      <w:marRight w:val="0"/>
      <w:marTop w:val="0"/>
      <w:marBottom w:val="0"/>
      <w:divBdr>
        <w:top w:val="none" w:sz="0" w:space="0" w:color="auto"/>
        <w:left w:val="none" w:sz="0" w:space="0" w:color="auto"/>
        <w:bottom w:val="none" w:sz="0" w:space="0" w:color="auto"/>
        <w:right w:val="none" w:sz="0" w:space="0" w:color="auto"/>
      </w:divBdr>
    </w:div>
    <w:div w:id="1425152418">
      <w:bodyDiv w:val="1"/>
      <w:marLeft w:val="0"/>
      <w:marRight w:val="0"/>
      <w:marTop w:val="0"/>
      <w:marBottom w:val="0"/>
      <w:divBdr>
        <w:top w:val="none" w:sz="0" w:space="0" w:color="auto"/>
        <w:left w:val="none" w:sz="0" w:space="0" w:color="auto"/>
        <w:bottom w:val="none" w:sz="0" w:space="0" w:color="auto"/>
        <w:right w:val="none" w:sz="0" w:space="0" w:color="auto"/>
      </w:divBdr>
    </w:div>
    <w:div w:id="1476138113">
      <w:bodyDiv w:val="1"/>
      <w:marLeft w:val="0"/>
      <w:marRight w:val="0"/>
      <w:marTop w:val="0"/>
      <w:marBottom w:val="0"/>
      <w:divBdr>
        <w:top w:val="none" w:sz="0" w:space="0" w:color="auto"/>
        <w:left w:val="none" w:sz="0" w:space="0" w:color="auto"/>
        <w:bottom w:val="none" w:sz="0" w:space="0" w:color="auto"/>
        <w:right w:val="none" w:sz="0" w:space="0" w:color="auto"/>
      </w:divBdr>
    </w:div>
    <w:div w:id="1541939769">
      <w:bodyDiv w:val="1"/>
      <w:marLeft w:val="0"/>
      <w:marRight w:val="0"/>
      <w:marTop w:val="0"/>
      <w:marBottom w:val="0"/>
      <w:divBdr>
        <w:top w:val="none" w:sz="0" w:space="0" w:color="auto"/>
        <w:left w:val="none" w:sz="0" w:space="0" w:color="auto"/>
        <w:bottom w:val="none" w:sz="0" w:space="0" w:color="auto"/>
        <w:right w:val="none" w:sz="0" w:space="0" w:color="auto"/>
      </w:divBdr>
    </w:div>
    <w:div w:id="1655794861">
      <w:bodyDiv w:val="1"/>
      <w:marLeft w:val="0"/>
      <w:marRight w:val="0"/>
      <w:marTop w:val="0"/>
      <w:marBottom w:val="0"/>
      <w:divBdr>
        <w:top w:val="none" w:sz="0" w:space="0" w:color="auto"/>
        <w:left w:val="none" w:sz="0" w:space="0" w:color="auto"/>
        <w:bottom w:val="none" w:sz="0" w:space="0" w:color="auto"/>
        <w:right w:val="none" w:sz="0" w:space="0" w:color="auto"/>
      </w:divBdr>
    </w:div>
    <w:div w:id="1831212959">
      <w:bodyDiv w:val="1"/>
      <w:marLeft w:val="0"/>
      <w:marRight w:val="0"/>
      <w:marTop w:val="0"/>
      <w:marBottom w:val="0"/>
      <w:divBdr>
        <w:top w:val="none" w:sz="0" w:space="0" w:color="auto"/>
        <w:left w:val="none" w:sz="0" w:space="0" w:color="auto"/>
        <w:bottom w:val="none" w:sz="0" w:space="0" w:color="auto"/>
        <w:right w:val="none" w:sz="0" w:space="0" w:color="auto"/>
      </w:divBdr>
    </w:div>
    <w:div w:id="1967083891">
      <w:bodyDiv w:val="1"/>
      <w:marLeft w:val="0"/>
      <w:marRight w:val="0"/>
      <w:marTop w:val="0"/>
      <w:marBottom w:val="0"/>
      <w:divBdr>
        <w:top w:val="none" w:sz="0" w:space="0" w:color="auto"/>
        <w:left w:val="none" w:sz="0" w:space="0" w:color="auto"/>
        <w:bottom w:val="none" w:sz="0" w:space="0" w:color="auto"/>
        <w:right w:val="none" w:sz="0" w:space="0" w:color="auto"/>
      </w:divBdr>
    </w:div>
    <w:div w:id="1976524774">
      <w:bodyDiv w:val="1"/>
      <w:marLeft w:val="0"/>
      <w:marRight w:val="0"/>
      <w:marTop w:val="0"/>
      <w:marBottom w:val="0"/>
      <w:divBdr>
        <w:top w:val="none" w:sz="0" w:space="0" w:color="auto"/>
        <w:left w:val="none" w:sz="0" w:space="0" w:color="auto"/>
        <w:bottom w:val="none" w:sz="0" w:space="0" w:color="auto"/>
        <w:right w:val="none" w:sz="0" w:space="0" w:color="auto"/>
      </w:divBdr>
    </w:div>
    <w:div w:id="1989279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gny.b@chu-toulouse.f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ogny.b@chu-toulouse.f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victor.e@chu-toulouse.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D8BCDD9892D3438A98B702BD1F8162" ma:contentTypeVersion="1" ma:contentTypeDescription="Crée un document." ma:contentTypeScope="" ma:versionID="d1cdc92516f565b5624fc0d54e7229f5">
  <xsd:schema xmlns:xsd="http://www.w3.org/2001/XMLSchema" xmlns:xs="http://www.w3.org/2001/XMLSchema" xmlns:p="http://schemas.microsoft.com/office/2006/metadata/properties" xmlns:ns2="2dfeeb3c-2d72-4012-93f4-d0529e02ee8b" targetNamespace="http://schemas.microsoft.com/office/2006/metadata/properties" ma:root="true" ma:fieldsID="662c352509868ae6fba1cdcf19c4f2e4" ns2:_="">
    <xsd:import namespace="2dfeeb3c-2d72-4012-93f4-d0529e02ee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eeb3c-2d72-4012-93f4-d0529e02ee8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6EAC4-1C94-4190-A447-F845FF98C1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93150-B6DA-401C-A521-0EF2E2419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eeb3c-2d72-4012-93f4-d0529e02e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42FAF-C34A-4610-8192-D4D743D417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8812</Words>
  <Characters>48468</Characters>
  <Application>Microsoft Office Word</Application>
  <DocSecurity>0</DocSecurity>
  <Lines>403</Lines>
  <Paragraphs>114</Paragraphs>
  <ScaleCrop>false</ScaleCrop>
  <HeadingPairs>
    <vt:vector size="2" baseType="variant">
      <vt:variant>
        <vt:lpstr>Titre</vt:lpstr>
      </vt:variant>
      <vt:variant>
        <vt:i4>1</vt:i4>
      </vt:variant>
    </vt:vector>
  </HeadingPairs>
  <TitlesOfParts>
    <vt:vector size="1" baseType="lpstr">
      <vt:lpstr>CCTP Gazométrie 2026 – MAD totale 8 ans</vt:lpstr>
    </vt:vector>
  </TitlesOfParts>
  <Company/>
  <LinksUpToDate>false</LinksUpToDate>
  <CharactersWithSpaces>57166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Gazométrie 2026 – MAD totale 8 ans</dc:title>
  <dc:subject/>
  <dc:creator>CHU de Toulouse</dc:creator>
  <cp:keywords/>
  <dc:description/>
  <cp:lastModifiedBy>FERNANDEZ Yoann</cp:lastModifiedBy>
  <cp:revision>12</cp:revision>
  <cp:lastPrinted>2026-07-13T12:34:00Z</cp:lastPrinted>
  <dcterms:created xsi:type="dcterms:W3CDTF">2026-06-19T13:17:00Z</dcterms:created>
  <dcterms:modified xsi:type="dcterms:W3CDTF">2026-07-13T12:34:00Z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0x0101005FD8BCDD9892D3438A98B702BD1F8162</vt:lpwstr>
  </property>
</Properties>
</file>